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45"/>
        <w:gridCol w:w="4995"/>
        <w:gridCol w:w="3120"/>
      </w:tblGrid>
      <w:tr w:rsidR="00DD0D8B" w:rsidTr="00505D97">
        <w:trPr>
          <w:trHeight w:val="312"/>
        </w:trPr>
        <w:tc>
          <w:tcPr>
            <w:tcW w:w="9360" w:type="dxa"/>
            <w:gridSpan w:val="3"/>
            <w:shd w:val="clear" w:color="auto" w:fill="auto"/>
            <w:tcMar>
              <w:top w:w="100" w:type="dxa"/>
              <w:left w:w="100" w:type="dxa"/>
              <w:bottom w:w="100" w:type="dxa"/>
              <w:right w:w="100" w:type="dxa"/>
            </w:tcMar>
          </w:tcPr>
          <w:p w:rsidR="00DD0D8B" w:rsidRDefault="00DD0D8B" w:rsidP="00505D97">
            <w:pPr>
              <w:widowControl w:val="0"/>
              <w:pBdr>
                <w:top w:val="nil"/>
                <w:left w:val="nil"/>
                <w:bottom w:val="nil"/>
                <w:right w:val="nil"/>
                <w:between w:val="nil"/>
              </w:pBdr>
              <w:spacing w:line="240" w:lineRule="auto"/>
            </w:pPr>
            <w:bookmarkStart w:id="0" w:name="_GoBack" w:colFirst="0" w:colLast="0"/>
            <w:r>
              <w:t xml:space="preserve">Chapter Regulation Comments </w:t>
            </w:r>
          </w:p>
        </w:tc>
      </w:tr>
      <w:tr w:rsidR="00DD0D8B" w:rsidTr="00505D97">
        <w:trPr>
          <w:trHeight w:val="222"/>
        </w:trPr>
        <w:tc>
          <w:tcPr>
            <w:tcW w:w="1245" w:type="dxa"/>
            <w:shd w:val="clear" w:color="auto" w:fill="auto"/>
            <w:tcMar>
              <w:top w:w="100" w:type="dxa"/>
              <w:left w:w="100" w:type="dxa"/>
              <w:bottom w:w="100" w:type="dxa"/>
              <w:right w:w="100" w:type="dxa"/>
            </w:tcMar>
          </w:tcPr>
          <w:p w:rsidR="00DD0D8B" w:rsidRDefault="00DD0D8B" w:rsidP="00505D97">
            <w:pPr>
              <w:widowControl w:val="0"/>
              <w:pBdr>
                <w:top w:val="nil"/>
                <w:left w:val="nil"/>
                <w:bottom w:val="nil"/>
                <w:right w:val="nil"/>
                <w:between w:val="nil"/>
              </w:pBdr>
              <w:spacing w:line="240" w:lineRule="auto"/>
            </w:pPr>
            <w:r>
              <w:t>Source</w:t>
            </w:r>
          </w:p>
        </w:tc>
        <w:tc>
          <w:tcPr>
            <w:tcW w:w="4995" w:type="dxa"/>
            <w:shd w:val="clear" w:color="auto" w:fill="auto"/>
            <w:tcMar>
              <w:top w:w="100" w:type="dxa"/>
              <w:left w:w="100" w:type="dxa"/>
              <w:bottom w:w="100" w:type="dxa"/>
              <w:right w:w="100" w:type="dxa"/>
            </w:tcMar>
          </w:tcPr>
          <w:p w:rsidR="00DD0D8B" w:rsidRDefault="00DD0D8B" w:rsidP="00505D97">
            <w:pPr>
              <w:widowControl w:val="0"/>
              <w:pBdr>
                <w:top w:val="nil"/>
                <w:left w:val="nil"/>
                <w:bottom w:val="nil"/>
                <w:right w:val="nil"/>
                <w:between w:val="nil"/>
              </w:pBdr>
              <w:spacing w:line="240" w:lineRule="auto"/>
            </w:pPr>
            <w:r>
              <w:t>Comment</w:t>
            </w:r>
          </w:p>
        </w:tc>
        <w:tc>
          <w:tcPr>
            <w:tcW w:w="3120" w:type="dxa"/>
            <w:shd w:val="clear" w:color="auto" w:fill="auto"/>
            <w:tcMar>
              <w:top w:w="100" w:type="dxa"/>
              <w:left w:w="100" w:type="dxa"/>
              <w:bottom w:w="100" w:type="dxa"/>
              <w:right w:w="100" w:type="dxa"/>
            </w:tcMar>
          </w:tcPr>
          <w:p w:rsidR="00DD0D8B" w:rsidRDefault="00DD0D8B" w:rsidP="00505D97">
            <w:pPr>
              <w:widowControl w:val="0"/>
              <w:pBdr>
                <w:top w:val="nil"/>
                <w:left w:val="nil"/>
                <w:bottom w:val="nil"/>
                <w:right w:val="nil"/>
                <w:between w:val="nil"/>
              </w:pBdr>
              <w:spacing w:line="240" w:lineRule="auto"/>
            </w:pPr>
            <w:r>
              <w:t>MHBE Response</w:t>
            </w:r>
          </w:p>
        </w:tc>
      </w:tr>
      <w:tr w:rsidR="00DD0D8B" w:rsidTr="00A8779A">
        <w:trPr>
          <w:trHeight w:val="141"/>
        </w:trPr>
        <w:tc>
          <w:tcPr>
            <w:tcW w:w="9360" w:type="dxa"/>
            <w:gridSpan w:val="3"/>
            <w:shd w:val="clear" w:color="auto" w:fill="auto"/>
            <w:tcMar>
              <w:top w:w="100" w:type="dxa"/>
              <w:left w:w="100" w:type="dxa"/>
              <w:bottom w:w="100" w:type="dxa"/>
              <w:right w:w="100" w:type="dxa"/>
            </w:tcMar>
          </w:tcPr>
          <w:p w:rsidR="00DD0D8B" w:rsidRDefault="00E87C02" w:rsidP="00E87C02">
            <w:pPr>
              <w:widowControl w:val="0"/>
              <w:pBdr>
                <w:top w:val="nil"/>
                <w:left w:val="nil"/>
                <w:bottom w:val="nil"/>
                <w:right w:val="nil"/>
                <w:between w:val="nil"/>
              </w:pBdr>
              <w:spacing w:line="240" w:lineRule="auto"/>
            </w:pPr>
            <w:proofErr w:type="spellStart"/>
            <w:r>
              <w:t>COMAR</w:t>
            </w:r>
            <w:proofErr w:type="spellEnd"/>
            <w:r>
              <w:t xml:space="preserve"> 14.35.18</w:t>
            </w:r>
            <w:r w:rsidR="00DD0D8B">
              <w:t xml:space="preserve"> </w:t>
            </w:r>
            <w:r>
              <w:t>Small Business Health Options Program</w:t>
            </w:r>
          </w:p>
        </w:tc>
      </w:tr>
      <w:bookmarkEnd w:id="0"/>
    </w:tbl>
    <w:p w:rsidR="00DD0D8B" w:rsidRDefault="00DD0D8B"/>
    <w:tbl>
      <w:tblPr>
        <w:tblW w:w="15030" w:type="dxa"/>
        <w:tblInd w:w="-10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5"/>
        <w:gridCol w:w="8545"/>
        <w:gridCol w:w="4140"/>
      </w:tblGrid>
      <w:tr w:rsidR="00DD0D8B" w:rsidRPr="007E3F7A" w:rsidTr="007E3F7A">
        <w:tc>
          <w:tcPr>
            <w:tcW w:w="2345" w:type="dxa"/>
            <w:shd w:val="clear" w:color="auto" w:fill="auto"/>
            <w:tcMar>
              <w:top w:w="100" w:type="dxa"/>
              <w:left w:w="100" w:type="dxa"/>
              <w:bottom w:w="100" w:type="dxa"/>
              <w:right w:w="100" w:type="dxa"/>
            </w:tcMar>
          </w:tcPr>
          <w:p w:rsidR="00DD0D8B" w:rsidRPr="007E3F7A" w:rsidRDefault="00DD0D8B" w:rsidP="00505D97">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DD0D8B"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 .01</w:t>
            </w:r>
            <w:r w:rsidR="00E87C02" w:rsidRPr="007E3F7A">
              <w:rPr>
                <w:rFonts w:asciiTheme="minorHAnsi" w:hAnsiTheme="minorHAnsi" w:cstheme="minorHAnsi"/>
              </w:rPr>
              <w:t xml:space="preserve"> Many of the defined terms are never actually used in the draft regulations</w:t>
            </w:r>
          </w:p>
        </w:tc>
        <w:tc>
          <w:tcPr>
            <w:tcW w:w="4140" w:type="dxa"/>
            <w:shd w:val="clear" w:color="auto" w:fill="auto"/>
            <w:tcMar>
              <w:top w:w="100" w:type="dxa"/>
              <w:left w:w="100" w:type="dxa"/>
              <w:bottom w:w="100" w:type="dxa"/>
              <w:right w:w="100" w:type="dxa"/>
            </w:tcMar>
          </w:tcPr>
          <w:p w:rsidR="00DD0D8B" w:rsidRPr="0024770D" w:rsidRDefault="00161B6A" w:rsidP="00505D97">
            <w:pPr>
              <w:widowControl w:val="0"/>
              <w:pBdr>
                <w:top w:val="nil"/>
                <w:left w:val="nil"/>
                <w:bottom w:val="nil"/>
                <w:right w:val="nil"/>
                <w:between w:val="nil"/>
              </w:pBdr>
              <w:spacing w:line="240" w:lineRule="auto"/>
              <w:rPr>
                <w:rFonts w:asciiTheme="minorHAnsi" w:hAnsiTheme="minorHAnsi" w:cstheme="minorHAnsi"/>
              </w:rPr>
            </w:pPr>
            <w:r w:rsidRPr="0024770D">
              <w:rPr>
                <w:rFonts w:asciiTheme="minorHAnsi" w:hAnsiTheme="minorHAnsi" w:cstheme="minorHAnsi"/>
              </w:rPr>
              <w:t>Deleted</w:t>
            </w:r>
            <w:r w:rsidR="00E87C02" w:rsidRPr="0024770D">
              <w:rPr>
                <w:rFonts w:asciiTheme="minorHAnsi" w:hAnsiTheme="minorHAnsi" w:cstheme="minorHAnsi"/>
              </w:rPr>
              <w:t xml:space="preserve"> unused definitions</w:t>
            </w:r>
          </w:p>
        </w:tc>
      </w:tr>
      <w:tr w:rsidR="00DD0D8B" w:rsidRPr="007E3F7A" w:rsidTr="007E3F7A">
        <w:tc>
          <w:tcPr>
            <w:tcW w:w="2345" w:type="dxa"/>
            <w:shd w:val="clear" w:color="auto" w:fill="auto"/>
            <w:tcMar>
              <w:top w:w="100" w:type="dxa"/>
              <w:left w:w="100" w:type="dxa"/>
              <w:bottom w:w="100" w:type="dxa"/>
              <w:right w:w="100" w:type="dxa"/>
            </w:tcMar>
          </w:tcPr>
          <w:p w:rsidR="00DD0D8B" w:rsidRPr="007E3F7A" w:rsidRDefault="00DD0D8B"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DD0D8B"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2) .01</w:t>
            </w:r>
            <w:r w:rsidR="00E87C02" w:rsidRPr="007E3F7A">
              <w:rPr>
                <w:rFonts w:asciiTheme="minorHAnsi" w:hAnsiTheme="minorHAnsi" w:cstheme="minorHAnsi"/>
              </w:rPr>
              <w:t>(B)(2) refers to “the commonwealth,” but Maryland does not use this terminology</w:t>
            </w:r>
          </w:p>
        </w:tc>
        <w:tc>
          <w:tcPr>
            <w:tcW w:w="4140" w:type="dxa"/>
            <w:shd w:val="clear" w:color="auto" w:fill="auto"/>
            <w:tcMar>
              <w:top w:w="100" w:type="dxa"/>
              <w:left w:w="100" w:type="dxa"/>
              <w:bottom w:w="100" w:type="dxa"/>
              <w:right w:w="100" w:type="dxa"/>
            </w:tcMar>
          </w:tcPr>
          <w:p w:rsidR="00DD0D8B" w:rsidRPr="0024770D" w:rsidRDefault="00E87C02" w:rsidP="00161B6A">
            <w:pPr>
              <w:widowControl w:val="0"/>
              <w:pBdr>
                <w:top w:val="nil"/>
                <w:left w:val="nil"/>
                <w:bottom w:val="nil"/>
                <w:right w:val="nil"/>
                <w:between w:val="nil"/>
              </w:pBdr>
              <w:spacing w:line="240" w:lineRule="auto"/>
              <w:rPr>
                <w:rFonts w:asciiTheme="minorHAnsi" w:hAnsiTheme="minorHAnsi" w:cstheme="minorHAnsi"/>
              </w:rPr>
            </w:pPr>
            <w:r w:rsidRPr="0024770D">
              <w:rPr>
                <w:rFonts w:asciiTheme="minorHAnsi" w:hAnsiTheme="minorHAnsi" w:cstheme="minorHAnsi"/>
              </w:rPr>
              <w:t xml:space="preserve">Was part of an unused definition – </w:t>
            </w:r>
            <w:r w:rsidR="00161B6A" w:rsidRPr="0024770D">
              <w:rPr>
                <w:rFonts w:asciiTheme="minorHAnsi" w:hAnsiTheme="minorHAnsi" w:cstheme="minorHAnsi"/>
              </w:rPr>
              <w:t>has been</w:t>
            </w:r>
            <w:r w:rsidRPr="0024770D">
              <w:rPr>
                <w:rFonts w:asciiTheme="minorHAnsi" w:hAnsiTheme="minorHAnsi" w:cstheme="minorHAnsi"/>
              </w:rPr>
              <w:t xml:space="preserve"> deleted</w:t>
            </w:r>
          </w:p>
        </w:tc>
      </w:tr>
      <w:tr w:rsidR="00DD0D8B" w:rsidRPr="007E3F7A" w:rsidTr="007E3F7A">
        <w:tc>
          <w:tcPr>
            <w:tcW w:w="2345" w:type="dxa"/>
            <w:shd w:val="clear" w:color="auto" w:fill="auto"/>
            <w:tcMar>
              <w:top w:w="100" w:type="dxa"/>
              <w:left w:w="100" w:type="dxa"/>
              <w:bottom w:w="100" w:type="dxa"/>
              <w:right w:w="100" w:type="dxa"/>
            </w:tcMar>
          </w:tcPr>
          <w:p w:rsidR="00DD0D8B" w:rsidRPr="007E3F7A" w:rsidRDefault="00DD0D8B"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DD0D8B"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3) .01</w:t>
            </w:r>
            <w:r w:rsidR="00E87C02" w:rsidRPr="007E3F7A">
              <w:rPr>
                <w:rFonts w:asciiTheme="minorHAnsi" w:hAnsiTheme="minorHAnsi" w:cstheme="minorHAnsi"/>
              </w:rPr>
              <w:t xml:space="preserve">(B)(4) error in citation </w:t>
            </w:r>
          </w:p>
        </w:tc>
        <w:tc>
          <w:tcPr>
            <w:tcW w:w="4140" w:type="dxa"/>
            <w:shd w:val="clear" w:color="auto" w:fill="auto"/>
            <w:tcMar>
              <w:top w:w="100" w:type="dxa"/>
              <w:left w:w="100" w:type="dxa"/>
              <w:bottom w:w="100" w:type="dxa"/>
              <w:right w:w="100" w:type="dxa"/>
            </w:tcMar>
          </w:tcPr>
          <w:p w:rsidR="00DD0D8B" w:rsidRPr="0024770D" w:rsidRDefault="00E87C02" w:rsidP="00161B6A">
            <w:pPr>
              <w:widowControl w:val="0"/>
              <w:spacing w:line="240" w:lineRule="auto"/>
              <w:rPr>
                <w:rFonts w:asciiTheme="minorHAnsi" w:hAnsiTheme="minorHAnsi" w:cstheme="minorHAnsi"/>
                <w:highlight w:val="yellow"/>
              </w:rPr>
            </w:pPr>
            <w:r w:rsidRPr="0024770D">
              <w:rPr>
                <w:rFonts w:asciiTheme="minorHAnsi" w:hAnsiTheme="minorHAnsi" w:cstheme="minorHAnsi"/>
              </w:rPr>
              <w:t>Citation updated</w:t>
            </w:r>
          </w:p>
        </w:tc>
      </w:tr>
      <w:tr w:rsidR="00DD0D8B" w:rsidRPr="007E3F7A" w:rsidTr="007E3F7A">
        <w:trPr>
          <w:trHeight w:val="1113"/>
        </w:trPr>
        <w:tc>
          <w:tcPr>
            <w:tcW w:w="2345" w:type="dxa"/>
            <w:shd w:val="clear" w:color="auto" w:fill="auto"/>
            <w:tcMar>
              <w:top w:w="100" w:type="dxa"/>
              <w:left w:w="100" w:type="dxa"/>
              <w:bottom w:w="100" w:type="dxa"/>
              <w:right w:w="100" w:type="dxa"/>
            </w:tcMar>
          </w:tcPr>
          <w:p w:rsidR="00DD0D8B" w:rsidRPr="007E3F7A" w:rsidRDefault="00DD0D8B"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DD0D8B"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4) .01</w:t>
            </w:r>
            <w:r w:rsidR="00E87C02" w:rsidRPr="007E3F7A">
              <w:rPr>
                <w:rFonts w:asciiTheme="minorHAnsi" w:hAnsiTheme="minorHAnsi" w:cstheme="minorHAnsi"/>
              </w:rPr>
              <w:t xml:space="preserve">(B)(11) the definition of “part-time employee” is more generous than that currently appearing in </w:t>
            </w:r>
            <w:r w:rsidR="00161B6A" w:rsidRPr="007E3F7A">
              <w:rPr>
                <w:rFonts w:asciiTheme="minorHAnsi" w:hAnsiTheme="minorHAnsi" w:cstheme="minorHAnsi"/>
              </w:rPr>
              <w:t>§15-1201(m) of the insurance Article</w:t>
            </w:r>
          </w:p>
        </w:tc>
        <w:tc>
          <w:tcPr>
            <w:tcW w:w="4140" w:type="dxa"/>
            <w:shd w:val="clear" w:color="auto" w:fill="auto"/>
            <w:tcMar>
              <w:top w:w="100" w:type="dxa"/>
              <w:left w:w="100" w:type="dxa"/>
              <w:bottom w:w="100" w:type="dxa"/>
              <w:right w:w="100" w:type="dxa"/>
            </w:tcMar>
          </w:tcPr>
          <w:p w:rsidR="00DD0D8B" w:rsidRPr="0024770D" w:rsidRDefault="001E4018" w:rsidP="001E4018">
            <w:pPr>
              <w:widowControl w:val="0"/>
              <w:spacing w:line="240" w:lineRule="auto"/>
              <w:rPr>
                <w:rFonts w:asciiTheme="minorHAnsi" w:hAnsiTheme="minorHAnsi" w:cstheme="minorHAnsi"/>
              </w:rPr>
            </w:pPr>
            <w:r w:rsidRPr="0024770D">
              <w:rPr>
                <w:rFonts w:asciiTheme="minorHAnsi" w:hAnsiTheme="minorHAnsi" w:cstheme="minorHAnsi"/>
              </w:rPr>
              <w:t>U</w:t>
            </w:r>
            <w:r w:rsidR="00161B6A" w:rsidRPr="0024770D">
              <w:rPr>
                <w:rFonts w:asciiTheme="minorHAnsi" w:hAnsiTheme="minorHAnsi" w:cstheme="minorHAnsi"/>
              </w:rPr>
              <w:t>pdated accordingly</w:t>
            </w:r>
          </w:p>
        </w:tc>
      </w:tr>
      <w:tr w:rsidR="00DD0D8B" w:rsidRPr="007E3F7A" w:rsidTr="007E3F7A">
        <w:tc>
          <w:tcPr>
            <w:tcW w:w="2345" w:type="dxa"/>
            <w:shd w:val="clear" w:color="auto" w:fill="auto"/>
            <w:tcMar>
              <w:top w:w="100" w:type="dxa"/>
              <w:left w:w="100" w:type="dxa"/>
              <w:bottom w:w="100" w:type="dxa"/>
              <w:right w:w="100" w:type="dxa"/>
            </w:tcMar>
          </w:tcPr>
          <w:p w:rsidR="00DD0D8B" w:rsidRPr="007E3F7A" w:rsidRDefault="00DD0D8B"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DD0D8B"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5) .02</w:t>
            </w:r>
            <w:r w:rsidR="00161B6A" w:rsidRPr="007E3F7A">
              <w:rPr>
                <w:rFonts w:asciiTheme="minorHAnsi" w:hAnsiTheme="minorHAnsi" w:cstheme="minorHAnsi"/>
              </w:rPr>
              <w:t>§</w:t>
            </w:r>
            <w:proofErr w:type="gramStart"/>
            <w:r w:rsidR="00161B6A" w:rsidRPr="007E3F7A">
              <w:rPr>
                <w:rFonts w:asciiTheme="minorHAnsi" w:hAnsiTheme="minorHAnsi" w:cstheme="minorHAnsi"/>
              </w:rPr>
              <w:t>B(</w:t>
            </w:r>
            <w:proofErr w:type="gramEnd"/>
            <w:r w:rsidR="00161B6A" w:rsidRPr="007E3F7A">
              <w:rPr>
                <w:rFonts w:asciiTheme="minorHAnsi" w:hAnsiTheme="minorHAnsi" w:cstheme="minorHAnsi"/>
              </w:rPr>
              <w:t>1)(a) should be “Has 50 or fewer employees” rather than “Has fewer than 50 employees.”  See § 31-101(z</w:t>
            </w:r>
            <w:proofErr w:type="gramStart"/>
            <w:r w:rsidR="00161B6A" w:rsidRPr="007E3F7A">
              <w:rPr>
                <w:rFonts w:asciiTheme="minorHAnsi" w:hAnsiTheme="minorHAnsi" w:cstheme="minorHAnsi"/>
              </w:rPr>
              <w:t>)(</w:t>
            </w:r>
            <w:proofErr w:type="gramEnd"/>
            <w:r w:rsidR="00161B6A" w:rsidRPr="007E3F7A">
              <w:rPr>
                <w:rFonts w:asciiTheme="minorHAnsi" w:hAnsiTheme="minorHAnsi" w:cstheme="minorHAnsi"/>
              </w:rPr>
              <w:t>1).</w:t>
            </w:r>
          </w:p>
        </w:tc>
        <w:tc>
          <w:tcPr>
            <w:tcW w:w="4140" w:type="dxa"/>
            <w:shd w:val="clear" w:color="auto" w:fill="auto"/>
            <w:tcMar>
              <w:top w:w="100" w:type="dxa"/>
              <w:left w:w="100" w:type="dxa"/>
              <w:bottom w:w="100" w:type="dxa"/>
              <w:right w:w="100" w:type="dxa"/>
            </w:tcMar>
          </w:tcPr>
          <w:p w:rsidR="00DD0D8B" w:rsidRPr="0024770D" w:rsidRDefault="00161B6A" w:rsidP="00DD0D8B">
            <w:pPr>
              <w:widowControl w:val="0"/>
              <w:spacing w:line="240" w:lineRule="auto"/>
              <w:rPr>
                <w:rFonts w:asciiTheme="minorHAnsi" w:hAnsiTheme="minorHAnsi" w:cstheme="minorHAnsi"/>
              </w:rPr>
            </w:pPr>
            <w:r w:rsidRPr="0024770D">
              <w:rPr>
                <w:rFonts w:asciiTheme="minorHAnsi" w:hAnsiTheme="minorHAnsi" w:cstheme="minorHAnsi"/>
              </w:rPr>
              <w:t>Updated</w:t>
            </w:r>
          </w:p>
        </w:tc>
      </w:tr>
      <w:tr w:rsidR="00DD0D8B" w:rsidRPr="007E3F7A" w:rsidTr="007E3F7A">
        <w:tc>
          <w:tcPr>
            <w:tcW w:w="2345" w:type="dxa"/>
            <w:shd w:val="clear" w:color="auto" w:fill="auto"/>
            <w:tcMar>
              <w:top w:w="100" w:type="dxa"/>
              <w:left w:w="100" w:type="dxa"/>
              <w:bottom w:w="100" w:type="dxa"/>
              <w:right w:w="100" w:type="dxa"/>
            </w:tcMar>
          </w:tcPr>
          <w:p w:rsidR="00DD0D8B" w:rsidRPr="007E3F7A" w:rsidRDefault="00DD0D8B" w:rsidP="00DD0D8B">
            <w:pPr>
              <w:widowControl w:val="0"/>
              <w:pBdr>
                <w:top w:val="nil"/>
                <w:left w:val="nil"/>
                <w:bottom w:val="nil"/>
                <w:right w:val="nil"/>
                <w:between w:val="nil"/>
              </w:pBdr>
              <w:spacing w:line="240" w:lineRule="auto"/>
              <w:rPr>
                <w:rFonts w:asciiTheme="minorHAnsi" w:hAnsiTheme="minorHAnsi" w:cstheme="minorHAnsi"/>
                <w:highlight w:val="yellow"/>
              </w:rPr>
            </w:pPr>
            <w:r w:rsidRPr="007E3F7A">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E87C02"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6) .02</w:t>
            </w:r>
            <w:r w:rsidR="00161B6A" w:rsidRPr="007E3F7A">
              <w:rPr>
                <w:rFonts w:asciiTheme="minorHAnsi" w:hAnsiTheme="minorHAnsi" w:cstheme="minorHAnsi"/>
              </w:rPr>
              <w:t>§</w:t>
            </w:r>
            <w:proofErr w:type="gramStart"/>
            <w:r w:rsidR="00161B6A" w:rsidRPr="007E3F7A">
              <w:rPr>
                <w:rFonts w:asciiTheme="minorHAnsi" w:hAnsiTheme="minorHAnsi" w:cstheme="minorHAnsi"/>
              </w:rPr>
              <w:t>F(</w:t>
            </w:r>
            <w:proofErr w:type="gramEnd"/>
            <w:r w:rsidR="00161B6A" w:rsidRPr="007E3F7A">
              <w:rPr>
                <w:rFonts w:asciiTheme="minorHAnsi" w:hAnsiTheme="minorHAnsi" w:cstheme="minorHAnsi"/>
              </w:rPr>
              <w:t>2) – For what purpose is full-time equivalency determined under this section?  If the purpose is to calculate the total number of employees to determine whether an employer is a “small employer,” then why does the regulation determine full-time equivalency on a weekly basis, while the statute, § 31-101(z)(2)(iii), determines full-time equivalency on a monthly basis?  The calculations will produce slightly different results.</w:t>
            </w:r>
          </w:p>
        </w:tc>
        <w:tc>
          <w:tcPr>
            <w:tcW w:w="4140" w:type="dxa"/>
            <w:shd w:val="clear" w:color="auto" w:fill="auto"/>
            <w:tcMar>
              <w:top w:w="100" w:type="dxa"/>
              <w:left w:w="100" w:type="dxa"/>
              <w:bottom w:w="100" w:type="dxa"/>
              <w:right w:w="100" w:type="dxa"/>
            </w:tcMar>
          </w:tcPr>
          <w:p w:rsidR="00DD0D8B" w:rsidRPr="0024770D" w:rsidRDefault="00161B6A" w:rsidP="00DD0D8B">
            <w:pPr>
              <w:widowControl w:val="0"/>
              <w:pBdr>
                <w:top w:val="nil"/>
                <w:left w:val="nil"/>
                <w:bottom w:val="nil"/>
                <w:right w:val="nil"/>
                <w:between w:val="nil"/>
              </w:pBdr>
              <w:spacing w:line="240" w:lineRule="auto"/>
              <w:rPr>
                <w:rFonts w:asciiTheme="minorHAnsi" w:hAnsiTheme="minorHAnsi" w:cstheme="minorHAnsi"/>
              </w:rPr>
            </w:pPr>
            <w:r w:rsidRPr="0024770D">
              <w:rPr>
                <w:rFonts w:asciiTheme="minorHAnsi" w:hAnsiTheme="minorHAnsi" w:cstheme="minorHAnsi"/>
              </w:rPr>
              <w:t>Updated</w:t>
            </w:r>
          </w:p>
        </w:tc>
      </w:tr>
      <w:tr w:rsidR="00E87C02" w:rsidRPr="007E3F7A" w:rsidTr="007E3F7A">
        <w:tc>
          <w:tcPr>
            <w:tcW w:w="2345" w:type="dxa"/>
            <w:shd w:val="clear" w:color="auto" w:fill="auto"/>
            <w:tcMar>
              <w:top w:w="100" w:type="dxa"/>
              <w:left w:w="100" w:type="dxa"/>
              <w:bottom w:w="100" w:type="dxa"/>
              <w:right w:w="100" w:type="dxa"/>
            </w:tcMar>
          </w:tcPr>
          <w:p w:rsidR="00E87C02"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E87C02" w:rsidRPr="007E3F7A" w:rsidRDefault="00610A2F" w:rsidP="00E87C02">
            <w:pPr>
              <w:widowControl w:val="0"/>
              <w:pBdr>
                <w:top w:val="nil"/>
                <w:left w:val="nil"/>
                <w:bottom w:val="nil"/>
                <w:right w:val="nil"/>
                <w:between w:val="nil"/>
              </w:pBdr>
              <w:spacing w:line="240" w:lineRule="auto"/>
              <w:rPr>
                <w:rFonts w:asciiTheme="minorHAnsi" w:hAnsiTheme="minorHAnsi" w:cstheme="minorHAnsi"/>
                <w:highlight w:val="yellow"/>
              </w:rPr>
            </w:pPr>
            <w:r>
              <w:rPr>
                <w:rFonts w:asciiTheme="minorHAnsi" w:hAnsiTheme="minorHAnsi" w:cstheme="minorHAnsi"/>
              </w:rPr>
              <w:t>7) .02</w:t>
            </w:r>
            <w:r w:rsidR="00161B6A" w:rsidRPr="007E3F7A">
              <w:rPr>
                <w:rFonts w:asciiTheme="minorHAnsi" w:hAnsiTheme="minorHAnsi" w:cstheme="minorHAnsi"/>
              </w:rPr>
              <w:t>§J – The calculation of participation rates described in the draft regulation is different from the calculation provided by statute in § 15-1206(c</w:t>
            </w:r>
            <w:proofErr w:type="gramStart"/>
            <w:r w:rsidR="00161B6A" w:rsidRPr="007E3F7A">
              <w:rPr>
                <w:rFonts w:asciiTheme="minorHAnsi" w:hAnsiTheme="minorHAnsi" w:cstheme="minorHAnsi"/>
              </w:rPr>
              <w:t>)(</w:t>
            </w:r>
            <w:proofErr w:type="gramEnd"/>
            <w:r w:rsidR="00161B6A" w:rsidRPr="007E3F7A">
              <w:rPr>
                <w:rFonts w:asciiTheme="minorHAnsi" w:hAnsiTheme="minorHAnsi" w:cstheme="minorHAnsi"/>
              </w:rPr>
              <w:t xml:space="preserve">3).  Under the draft regulation, employees with other coverage </w:t>
            </w:r>
            <w:proofErr w:type="gramStart"/>
            <w:r w:rsidR="00161B6A" w:rsidRPr="007E3F7A">
              <w:rPr>
                <w:rFonts w:asciiTheme="minorHAnsi" w:hAnsiTheme="minorHAnsi" w:cstheme="minorHAnsi"/>
              </w:rPr>
              <w:t>are added</w:t>
            </w:r>
            <w:proofErr w:type="gramEnd"/>
            <w:r w:rsidR="00161B6A" w:rsidRPr="007E3F7A">
              <w:rPr>
                <w:rFonts w:asciiTheme="minorHAnsi" w:hAnsiTheme="minorHAnsi" w:cstheme="minorHAnsi"/>
              </w:rPr>
              <w:t xml:space="preserve"> to the numerator, whereas under the statute, employees with other coverage are subtracted from the denominator.  The calculation in the proposed regulation makes it easier for a small employer to satisfy the minimum participation rate, but it seems to exceed the scope of statutory authority under § 15-1206(c</w:t>
            </w:r>
            <w:proofErr w:type="gramStart"/>
            <w:r w:rsidR="00161B6A" w:rsidRPr="007E3F7A">
              <w:rPr>
                <w:rFonts w:asciiTheme="minorHAnsi" w:hAnsiTheme="minorHAnsi" w:cstheme="minorHAnsi"/>
              </w:rPr>
              <w:t>)(</w:t>
            </w:r>
            <w:proofErr w:type="gramEnd"/>
            <w:r w:rsidR="00161B6A" w:rsidRPr="007E3F7A">
              <w:rPr>
                <w:rFonts w:asciiTheme="minorHAnsi" w:hAnsiTheme="minorHAnsi" w:cstheme="minorHAnsi"/>
              </w:rPr>
              <w:t>3).</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We had taken this calculation from the Federal guidance –</w:t>
            </w:r>
            <w:r w:rsidR="00610A2F" w:rsidRPr="0024770D">
              <w:rPr>
                <w:rFonts w:asciiTheme="minorHAnsi" w:hAnsiTheme="minorHAnsi" w:cstheme="minorHAnsi"/>
                <w:sz w:val="22"/>
                <w:szCs w:val="22"/>
              </w:rPr>
              <w:t xml:space="preserve"> </w:t>
            </w:r>
            <w:r w:rsidRPr="0024770D">
              <w:rPr>
                <w:rFonts w:asciiTheme="minorHAnsi" w:hAnsiTheme="minorHAnsi" w:cstheme="minorHAnsi"/>
                <w:sz w:val="22"/>
                <w:szCs w:val="22"/>
              </w:rPr>
              <w:t>update</w:t>
            </w:r>
            <w:r w:rsidR="00610A2F" w:rsidRPr="0024770D">
              <w:rPr>
                <w:rFonts w:asciiTheme="minorHAnsi" w:hAnsiTheme="minorHAnsi" w:cstheme="minorHAnsi"/>
                <w:sz w:val="22"/>
                <w:szCs w:val="22"/>
              </w:rPr>
              <w:t>d</w:t>
            </w:r>
            <w:r w:rsidRPr="0024770D">
              <w:rPr>
                <w:rFonts w:asciiTheme="minorHAnsi" w:hAnsiTheme="minorHAnsi" w:cstheme="minorHAnsi"/>
                <w:sz w:val="22"/>
                <w:szCs w:val="22"/>
              </w:rPr>
              <w:t xml:space="preserve"> for conformity to MD </w:t>
            </w:r>
          </w:p>
          <w:p w:rsidR="00E87C02" w:rsidRPr="0024770D" w:rsidRDefault="00E87C02" w:rsidP="00DD0D8B">
            <w:pPr>
              <w:widowControl w:val="0"/>
              <w:pBdr>
                <w:top w:val="nil"/>
                <w:left w:val="nil"/>
                <w:bottom w:val="nil"/>
                <w:right w:val="nil"/>
                <w:between w:val="nil"/>
              </w:pBdr>
              <w:spacing w:line="240" w:lineRule="auto"/>
              <w:rPr>
                <w:rFonts w:asciiTheme="minorHAnsi" w:hAnsiTheme="minorHAnsi" w:cstheme="minorHAnsi"/>
                <w:highlight w:val="yellow"/>
              </w:rPr>
            </w:pP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lastRenderedPageBreak/>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8) .03</w:t>
            </w:r>
            <w:r w:rsidR="00161B6A" w:rsidRPr="007E3F7A">
              <w:rPr>
                <w:rFonts w:asciiTheme="minorHAnsi" w:hAnsiTheme="minorHAnsi" w:cstheme="minorHAnsi"/>
              </w:rPr>
              <w:t>§</w:t>
            </w:r>
            <w:proofErr w:type="gramStart"/>
            <w:r w:rsidR="00161B6A" w:rsidRPr="007E3F7A">
              <w:rPr>
                <w:rFonts w:asciiTheme="minorHAnsi" w:hAnsiTheme="minorHAnsi" w:cstheme="minorHAnsi"/>
              </w:rPr>
              <w:t>F(</w:t>
            </w:r>
            <w:proofErr w:type="gramEnd"/>
            <w:r w:rsidR="00161B6A" w:rsidRPr="007E3F7A">
              <w:rPr>
                <w:rFonts w:asciiTheme="minorHAnsi" w:hAnsiTheme="minorHAnsi" w:cstheme="minorHAnsi"/>
              </w:rPr>
              <w:t xml:space="preserve">1) – the draft regulations refer to other </w:t>
            </w:r>
            <w:proofErr w:type="spellStart"/>
            <w:r w:rsidR="00161B6A" w:rsidRPr="007E3F7A">
              <w:rPr>
                <w:rFonts w:asciiTheme="minorHAnsi" w:hAnsiTheme="minorHAnsi" w:cstheme="minorHAnsi"/>
              </w:rPr>
              <w:t>MHBE</w:t>
            </w:r>
            <w:proofErr w:type="spellEnd"/>
            <w:r w:rsidR="00161B6A" w:rsidRPr="007E3F7A">
              <w:rPr>
                <w:rFonts w:asciiTheme="minorHAnsi" w:hAnsiTheme="minorHAnsi" w:cstheme="minorHAnsi"/>
              </w:rPr>
              <w:t xml:space="preserve"> regulations in </w:t>
            </w:r>
            <w:proofErr w:type="spellStart"/>
            <w:r w:rsidR="00161B6A" w:rsidRPr="007E3F7A">
              <w:rPr>
                <w:rFonts w:asciiTheme="minorHAnsi" w:hAnsiTheme="minorHAnsi" w:cstheme="minorHAnsi"/>
              </w:rPr>
              <w:t>COMAR</w:t>
            </w:r>
            <w:proofErr w:type="spellEnd"/>
            <w:r w:rsidR="00161B6A" w:rsidRPr="007E3F7A">
              <w:rPr>
                <w:rFonts w:asciiTheme="minorHAnsi" w:hAnsiTheme="minorHAnsi" w:cstheme="minorHAnsi"/>
              </w:rPr>
              <w:t xml:space="preserve"> 14.35.07 for details and definitions related to special enrollment periods.  It is important to note that the existing regulations in </w:t>
            </w:r>
            <w:proofErr w:type="spellStart"/>
            <w:r w:rsidR="00161B6A" w:rsidRPr="007E3F7A">
              <w:rPr>
                <w:rFonts w:asciiTheme="minorHAnsi" w:hAnsiTheme="minorHAnsi" w:cstheme="minorHAnsi"/>
              </w:rPr>
              <w:t>COMAR</w:t>
            </w:r>
            <w:proofErr w:type="spellEnd"/>
            <w:r w:rsidR="00161B6A" w:rsidRPr="007E3F7A">
              <w:rPr>
                <w:rFonts w:asciiTheme="minorHAnsi" w:hAnsiTheme="minorHAnsi" w:cstheme="minorHAnsi"/>
              </w:rPr>
              <w:t xml:space="preserve"> 14.35.07 have not yet been revised to include the more recent updates to the federal requirements for triggering events described in the HHS Notice of Benefit and Payment Parameters for 2019 and 2020 Final Rules.  The MIA will require carriers’ contracts to comply with the updated federal requirements.</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Currently being amended for conformity</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9) .03</w:t>
            </w:r>
            <w:r w:rsidR="00161B6A" w:rsidRPr="007E3F7A">
              <w:rPr>
                <w:rFonts w:asciiTheme="minorHAnsi" w:hAnsiTheme="minorHAnsi" w:cstheme="minorHAnsi"/>
              </w:rPr>
              <w:t>§</w:t>
            </w:r>
            <w:proofErr w:type="gramStart"/>
            <w:r w:rsidR="00161B6A" w:rsidRPr="007E3F7A">
              <w:rPr>
                <w:rFonts w:asciiTheme="minorHAnsi" w:hAnsiTheme="minorHAnsi" w:cstheme="minorHAnsi"/>
              </w:rPr>
              <w:t>F(</w:t>
            </w:r>
            <w:proofErr w:type="gramEnd"/>
            <w:r w:rsidR="00161B6A" w:rsidRPr="007E3F7A">
              <w:rPr>
                <w:rFonts w:asciiTheme="minorHAnsi" w:hAnsiTheme="minorHAnsi" w:cstheme="minorHAnsi"/>
              </w:rPr>
              <w:t>1) – the draft regulations are missing the triggering event required by §15-1208.2(d)(4)(viii) and (ix) of the Insurance Article and 45 CFR § 155.420(d)(11).  It appears this could be addressed by expanding §F(1)(</w:t>
            </w:r>
            <w:proofErr w:type="spellStart"/>
            <w:r w:rsidR="00161B6A" w:rsidRPr="007E3F7A">
              <w:rPr>
                <w:rFonts w:asciiTheme="minorHAnsi" w:hAnsiTheme="minorHAnsi" w:cstheme="minorHAnsi"/>
              </w:rPr>
              <w:t>i</w:t>
            </w:r>
            <w:proofErr w:type="spellEnd"/>
            <w:r w:rsidR="00161B6A" w:rsidRPr="007E3F7A">
              <w:rPr>
                <w:rFonts w:asciiTheme="minorHAnsi" w:hAnsiTheme="minorHAnsi" w:cstheme="minorHAnsi"/>
              </w:rPr>
              <w:t xml:space="preserve">) to refer to §G of </w:t>
            </w:r>
            <w:proofErr w:type="spellStart"/>
            <w:r w:rsidR="00161B6A" w:rsidRPr="007E3F7A">
              <w:rPr>
                <w:rFonts w:asciiTheme="minorHAnsi" w:hAnsiTheme="minorHAnsi" w:cstheme="minorHAnsi"/>
              </w:rPr>
              <w:t>COMAR</w:t>
            </w:r>
            <w:proofErr w:type="spellEnd"/>
            <w:r w:rsidR="00161B6A" w:rsidRPr="007E3F7A">
              <w:rPr>
                <w:rFonts w:asciiTheme="minorHAnsi" w:hAnsiTheme="minorHAnsi" w:cstheme="minorHAnsi"/>
              </w:rPr>
              <w:t xml:space="preserve"> 14.35.07.19, in addition to §§ B, C, and D.</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(G) has been added</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10) .03</w:t>
            </w:r>
            <w:r w:rsidR="00161B6A" w:rsidRPr="007E3F7A">
              <w:rPr>
                <w:rFonts w:asciiTheme="minorHAnsi" w:hAnsiTheme="minorHAnsi" w:cstheme="minorHAnsi"/>
              </w:rPr>
              <w:t>§F(1) – the draft regulations do not address the new special enrollment period for pregnancy required by House Bill 127, Chapter 355, Acts of 2019.</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Added</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11) .03</w:t>
            </w:r>
            <w:r w:rsidR="00161B6A" w:rsidRPr="007E3F7A">
              <w:rPr>
                <w:rFonts w:asciiTheme="minorHAnsi" w:hAnsiTheme="minorHAnsi" w:cstheme="minorHAnsi"/>
              </w:rPr>
              <w:t xml:space="preserve">§F(2) – the draft regulations indicate that the SHOP special enrollment periods must adhere to the timelines specified in </w:t>
            </w:r>
            <w:proofErr w:type="spellStart"/>
            <w:r w:rsidR="00161B6A" w:rsidRPr="007E3F7A">
              <w:rPr>
                <w:rFonts w:asciiTheme="minorHAnsi" w:hAnsiTheme="minorHAnsi" w:cstheme="minorHAnsi"/>
              </w:rPr>
              <w:t>COMAR</w:t>
            </w:r>
            <w:proofErr w:type="spellEnd"/>
            <w:r w:rsidR="00161B6A" w:rsidRPr="007E3F7A">
              <w:rPr>
                <w:rFonts w:asciiTheme="minorHAnsi" w:hAnsiTheme="minorHAnsi" w:cstheme="minorHAnsi"/>
              </w:rPr>
              <w:t xml:space="preserve"> 14.35.07.12 - .19, which provide for a special enrollment period of 60 days for many triggering events.  This conflicts with federal regulations under 45 CFR § 155.726(c</w:t>
            </w:r>
            <w:proofErr w:type="gramStart"/>
            <w:r w:rsidR="00161B6A" w:rsidRPr="007E3F7A">
              <w:rPr>
                <w:rFonts w:asciiTheme="minorHAnsi" w:hAnsiTheme="minorHAnsi" w:cstheme="minorHAnsi"/>
              </w:rPr>
              <w:t>)(</w:t>
            </w:r>
            <w:proofErr w:type="gramEnd"/>
            <w:r w:rsidR="00161B6A" w:rsidRPr="007E3F7A">
              <w:rPr>
                <w:rFonts w:asciiTheme="minorHAnsi" w:hAnsiTheme="minorHAnsi" w:cstheme="minorHAnsi"/>
              </w:rPr>
              <w:t>3)(</w:t>
            </w:r>
            <w:proofErr w:type="spellStart"/>
            <w:r w:rsidR="00161B6A" w:rsidRPr="007E3F7A">
              <w:rPr>
                <w:rFonts w:asciiTheme="minorHAnsi" w:hAnsiTheme="minorHAnsi" w:cstheme="minorHAnsi"/>
              </w:rPr>
              <w:t>i</w:t>
            </w:r>
            <w:proofErr w:type="spellEnd"/>
            <w:r w:rsidR="00161B6A" w:rsidRPr="007E3F7A">
              <w:rPr>
                <w:rFonts w:asciiTheme="minorHAnsi" w:hAnsiTheme="minorHAnsi" w:cstheme="minorHAnsi"/>
              </w:rPr>
              <w:t xml:space="preserve">) and with Maryland law under §§ 15-1208.1 and 15-1208.2 of the Insurance Article, which provide that the length of the special enrollment periods shall be either 30 or 31 days.  The MIA has required existing contracts, including those filed for plan year 2020, to follow the 30 and </w:t>
            </w:r>
            <w:proofErr w:type="gramStart"/>
            <w:r w:rsidR="00161B6A" w:rsidRPr="007E3F7A">
              <w:rPr>
                <w:rFonts w:asciiTheme="minorHAnsi" w:hAnsiTheme="minorHAnsi" w:cstheme="minorHAnsi"/>
              </w:rPr>
              <w:t>31 day</w:t>
            </w:r>
            <w:proofErr w:type="gramEnd"/>
            <w:r w:rsidR="00161B6A" w:rsidRPr="007E3F7A">
              <w:rPr>
                <w:rFonts w:asciiTheme="minorHAnsi" w:hAnsiTheme="minorHAnsi" w:cstheme="minorHAnsi"/>
              </w:rPr>
              <w:t xml:space="preserve"> periods under Maryland law.  This issue </w:t>
            </w:r>
            <w:proofErr w:type="gramStart"/>
            <w:r w:rsidR="00161B6A" w:rsidRPr="007E3F7A">
              <w:rPr>
                <w:rFonts w:asciiTheme="minorHAnsi" w:hAnsiTheme="minorHAnsi" w:cstheme="minorHAnsi"/>
              </w:rPr>
              <w:t>should be considered</w:t>
            </w:r>
            <w:proofErr w:type="gramEnd"/>
            <w:r w:rsidR="00161B6A" w:rsidRPr="007E3F7A">
              <w:rPr>
                <w:rFonts w:asciiTheme="minorHAnsi" w:hAnsiTheme="minorHAnsi" w:cstheme="minorHAnsi"/>
              </w:rPr>
              <w:t xml:space="preserve"> when the effective date of the draft regulations is determined to ensure that approved contracts are not inconsistent with </w:t>
            </w:r>
            <w:proofErr w:type="spellStart"/>
            <w:r w:rsidR="00161B6A" w:rsidRPr="007E3F7A">
              <w:rPr>
                <w:rFonts w:asciiTheme="minorHAnsi" w:hAnsiTheme="minorHAnsi" w:cstheme="minorHAnsi"/>
              </w:rPr>
              <w:t>MHBE’s</w:t>
            </w:r>
            <w:proofErr w:type="spellEnd"/>
            <w:r w:rsidR="00161B6A" w:rsidRPr="007E3F7A">
              <w:rPr>
                <w:rFonts w:asciiTheme="minorHAnsi" w:hAnsiTheme="minorHAnsi" w:cstheme="minorHAnsi"/>
              </w:rPr>
              <w:t xml:space="preserve"> requirements.</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Updated </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12) .03</w:t>
            </w:r>
            <w:r w:rsidR="00161B6A" w:rsidRPr="007E3F7A">
              <w:rPr>
                <w:rFonts w:asciiTheme="minorHAnsi" w:hAnsiTheme="minorHAnsi" w:cstheme="minorHAnsi"/>
              </w:rPr>
              <w:t xml:space="preserve">§F(2) – as stated above, the draft regulations indicate that the SHOP special enrollment periods must adhere to the timelines specified in </w:t>
            </w:r>
            <w:proofErr w:type="spellStart"/>
            <w:r w:rsidR="00161B6A" w:rsidRPr="007E3F7A">
              <w:rPr>
                <w:rFonts w:asciiTheme="minorHAnsi" w:hAnsiTheme="minorHAnsi" w:cstheme="minorHAnsi"/>
              </w:rPr>
              <w:t>COMAR</w:t>
            </w:r>
            <w:proofErr w:type="spellEnd"/>
            <w:r w:rsidR="00161B6A" w:rsidRPr="007E3F7A">
              <w:rPr>
                <w:rFonts w:asciiTheme="minorHAnsi" w:hAnsiTheme="minorHAnsi" w:cstheme="minorHAnsi"/>
              </w:rPr>
              <w:t xml:space="preserve"> 14.35.07.12 - .19.  However, there are no timelines specified in those regulations for the triggering event described in Regulation .</w:t>
            </w:r>
            <w:proofErr w:type="gramStart"/>
            <w:r w:rsidR="00161B6A" w:rsidRPr="007E3F7A">
              <w:rPr>
                <w:rFonts w:asciiTheme="minorHAnsi" w:hAnsiTheme="minorHAnsi" w:cstheme="minorHAnsi"/>
              </w:rPr>
              <w:t>03F(</w:t>
            </w:r>
            <w:proofErr w:type="gramEnd"/>
            <w:r w:rsidR="00161B6A" w:rsidRPr="007E3F7A">
              <w:rPr>
                <w:rFonts w:asciiTheme="minorHAnsi" w:hAnsiTheme="minorHAnsi" w:cstheme="minorHAnsi"/>
              </w:rPr>
              <w:t>1)(j) of the draft regulations.  In accordance with §15-1208.2(d</w:t>
            </w:r>
            <w:proofErr w:type="gramStart"/>
            <w:r w:rsidR="00161B6A" w:rsidRPr="007E3F7A">
              <w:rPr>
                <w:rFonts w:asciiTheme="minorHAnsi" w:hAnsiTheme="minorHAnsi" w:cstheme="minorHAnsi"/>
              </w:rPr>
              <w:t>)(</w:t>
            </w:r>
            <w:proofErr w:type="gramEnd"/>
            <w:r w:rsidR="00161B6A" w:rsidRPr="007E3F7A">
              <w:rPr>
                <w:rFonts w:asciiTheme="minorHAnsi" w:hAnsiTheme="minorHAnsi" w:cstheme="minorHAnsi"/>
              </w:rPr>
              <w:t>9) of the Insurance Article and 45 CFR §155.726(c)(3)(ii), the time period should be 60 days for this triggering event.</w:t>
            </w:r>
          </w:p>
        </w:tc>
        <w:tc>
          <w:tcPr>
            <w:tcW w:w="4140" w:type="dxa"/>
            <w:shd w:val="clear" w:color="auto" w:fill="auto"/>
            <w:tcMar>
              <w:top w:w="100" w:type="dxa"/>
              <w:left w:w="100" w:type="dxa"/>
              <w:bottom w:w="100" w:type="dxa"/>
              <w:right w:w="100" w:type="dxa"/>
            </w:tcMar>
          </w:tcPr>
          <w:p w:rsidR="00161B6A" w:rsidRPr="0024770D" w:rsidRDefault="00161B6A"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Updated </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13) .04</w:t>
            </w:r>
            <w:r w:rsidR="00161B6A" w:rsidRPr="007E3F7A">
              <w:rPr>
                <w:rFonts w:asciiTheme="minorHAnsi" w:hAnsiTheme="minorHAnsi" w:cstheme="minorHAnsi"/>
              </w:rPr>
              <w:t xml:space="preserve"> </w:t>
            </w:r>
            <w:r w:rsidR="00CD42F5" w:rsidRPr="007E3F7A">
              <w:rPr>
                <w:rFonts w:asciiTheme="minorHAnsi" w:hAnsiTheme="minorHAnsi" w:cstheme="minorHAnsi"/>
              </w:rPr>
              <w:t xml:space="preserve">establishes new termination requirements for plans offered through the SHOP, which </w:t>
            </w:r>
            <w:proofErr w:type="gramStart"/>
            <w:r w:rsidR="00CD42F5" w:rsidRPr="007E3F7A">
              <w:rPr>
                <w:rFonts w:asciiTheme="minorHAnsi" w:hAnsiTheme="minorHAnsi" w:cstheme="minorHAnsi"/>
              </w:rPr>
              <w:t>are not currently required</w:t>
            </w:r>
            <w:proofErr w:type="gramEnd"/>
            <w:r w:rsidR="00CD42F5" w:rsidRPr="007E3F7A">
              <w:rPr>
                <w:rFonts w:asciiTheme="minorHAnsi" w:hAnsiTheme="minorHAnsi" w:cstheme="minorHAnsi"/>
              </w:rPr>
              <w:t xml:space="preserve"> by State law or federal regulations.  </w:t>
            </w:r>
            <w:proofErr w:type="gramStart"/>
            <w:r w:rsidR="00CD42F5" w:rsidRPr="007E3F7A">
              <w:rPr>
                <w:rFonts w:asciiTheme="minorHAnsi" w:hAnsiTheme="minorHAnsi" w:cstheme="minorHAnsi"/>
              </w:rPr>
              <w:t xml:space="preserve">Existing contracts, including </w:t>
            </w:r>
            <w:r w:rsidR="00CD42F5" w:rsidRPr="007E3F7A">
              <w:rPr>
                <w:rFonts w:asciiTheme="minorHAnsi" w:hAnsiTheme="minorHAnsi" w:cstheme="minorHAnsi"/>
              </w:rPr>
              <w:lastRenderedPageBreak/>
              <w:t>contracts submitted to the MIA for the 2020 plan year</w:t>
            </w:r>
            <w:proofErr w:type="gramEnd"/>
            <w:r w:rsidR="00CD42F5" w:rsidRPr="007E3F7A">
              <w:rPr>
                <w:rFonts w:asciiTheme="minorHAnsi" w:hAnsiTheme="minorHAnsi" w:cstheme="minorHAnsi"/>
              </w:rPr>
              <w:t xml:space="preserve">, </w:t>
            </w:r>
            <w:proofErr w:type="gramStart"/>
            <w:r w:rsidR="00CD42F5" w:rsidRPr="007E3F7A">
              <w:rPr>
                <w:rFonts w:asciiTheme="minorHAnsi" w:hAnsiTheme="minorHAnsi" w:cstheme="minorHAnsi"/>
              </w:rPr>
              <w:t>do not include these requirements</w:t>
            </w:r>
            <w:proofErr w:type="gramEnd"/>
            <w:r w:rsidR="00CD42F5" w:rsidRPr="007E3F7A">
              <w:rPr>
                <w:rFonts w:asciiTheme="minorHAnsi" w:hAnsiTheme="minorHAnsi" w:cstheme="minorHAnsi"/>
              </w:rPr>
              <w:t xml:space="preserve">.  The MIA requests that the </w:t>
            </w:r>
            <w:proofErr w:type="spellStart"/>
            <w:r w:rsidR="00CD42F5" w:rsidRPr="007E3F7A">
              <w:rPr>
                <w:rFonts w:asciiTheme="minorHAnsi" w:hAnsiTheme="minorHAnsi" w:cstheme="minorHAnsi"/>
              </w:rPr>
              <w:t>MHBE</w:t>
            </w:r>
            <w:proofErr w:type="spellEnd"/>
            <w:r w:rsidR="00CD42F5" w:rsidRPr="007E3F7A">
              <w:rPr>
                <w:rFonts w:asciiTheme="minorHAnsi" w:hAnsiTheme="minorHAnsi" w:cstheme="minorHAnsi"/>
              </w:rPr>
              <w:t xml:space="preserve"> consider this issue when determining the effective date for the proposed regulations.  It is important that carriers and the MIA have enough time to ensure that approved contracts will comply with any new regulatory requirements the </w:t>
            </w:r>
            <w:proofErr w:type="spellStart"/>
            <w:r w:rsidR="00CD42F5" w:rsidRPr="007E3F7A">
              <w:rPr>
                <w:rFonts w:asciiTheme="minorHAnsi" w:hAnsiTheme="minorHAnsi" w:cstheme="minorHAnsi"/>
              </w:rPr>
              <w:t>MBHE</w:t>
            </w:r>
            <w:proofErr w:type="spellEnd"/>
            <w:r w:rsidR="00CD42F5" w:rsidRPr="007E3F7A">
              <w:rPr>
                <w:rFonts w:asciiTheme="minorHAnsi" w:hAnsiTheme="minorHAnsi" w:cstheme="minorHAnsi"/>
              </w:rPr>
              <w:t xml:space="preserve"> imposes regarding termination.</w:t>
            </w:r>
          </w:p>
        </w:tc>
        <w:tc>
          <w:tcPr>
            <w:tcW w:w="4140" w:type="dxa"/>
            <w:shd w:val="clear" w:color="auto" w:fill="auto"/>
            <w:tcMar>
              <w:top w:w="100" w:type="dxa"/>
              <w:left w:w="100" w:type="dxa"/>
              <w:bottom w:w="100" w:type="dxa"/>
              <w:right w:w="100" w:type="dxa"/>
            </w:tcMar>
          </w:tcPr>
          <w:p w:rsidR="00161B6A" w:rsidRPr="0024770D" w:rsidRDefault="001E4018" w:rsidP="001E4018">
            <w:pPr>
              <w:pStyle w:val="Header"/>
              <w:rPr>
                <w:rFonts w:asciiTheme="minorHAnsi" w:hAnsiTheme="minorHAnsi" w:cstheme="minorHAnsi"/>
                <w:sz w:val="22"/>
                <w:szCs w:val="22"/>
              </w:rPr>
            </w:pPr>
            <w:r w:rsidRPr="0024770D">
              <w:rPr>
                <w:rFonts w:asciiTheme="minorHAnsi" w:hAnsiTheme="minorHAnsi" w:cstheme="minorHAnsi"/>
                <w:sz w:val="22"/>
                <w:szCs w:val="22"/>
              </w:rPr>
              <w:lastRenderedPageBreak/>
              <w:t>Revised to conform with current standards</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14) .04</w:t>
            </w:r>
            <w:r w:rsidR="00CD42F5" w:rsidRPr="007E3F7A">
              <w:rPr>
                <w:rFonts w:asciiTheme="minorHAnsi" w:hAnsiTheme="minorHAnsi" w:cstheme="minorHAnsi"/>
              </w:rPr>
              <w:t xml:space="preserve">§A – the term “contract holder” is used throughout this section, but it appears to be used in an inconsistent manner.  Under a group health insurance policy, the only parties to the contract are the carrier and the group policyholder, which is typically the employer.  Individual employees are not parties to the contract and </w:t>
            </w:r>
            <w:proofErr w:type="gramStart"/>
            <w:r w:rsidR="00CD42F5" w:rsidRPr="007E3F7A">
              <w:rPr>
                <w:rFonts w:asciiTheme="minorHAnsi" w:hAnsiTheme="minorHAnsi" w:cstheme="minorHAnsi"/>
              </w:rPr>
              <w:t>are not considered</w:t>
            </w:r>
            <w:proofErr w:type="gramEnd"/>
            <w:r w:rsidR="00CD42F5" w:rsidRPr="007E3F7A">
              <w:rPr>
                <w:rFonts w:asciiTheme="minorHAnsi" w:hAnsiTheme="minorHAnsi" w:cstheme="minorHAnsi"/>
              </w:rPr>
              <w:t xml:space="preserve"> “contract holders” based on the common definition of this term.  Individual employees hold certificates of coverage, and the correct term for a covered employee would be “certificate holder.”  It seems that any references to “contract holder” in §A that </w:t>
            </w:r>
            <w:proofErr w:type="gramStart"/>
            <w:r w:rsidR="00CD42F5" w:rsidRPr="007E3F7A">
              <w:rPr>
                <w:rFonts w:asciiTheme="minorHAnsi" w:hAnsiTheme="minorHAnsi" w:cstheme="minorHAnsi"/>
              </w:rPr>
              <w:t>are not intended</w:t>
            </w:r>
            <w:proofErr w:type="gramEnd"/>
            <w:r w:rsidR="00CD42F5" w:rsidRPr="007E3F7A">
              <w:rPr>
                <w:rFonts w:asciiTheme="minorHAnsi" w:hAnsiTheme="minorHAnsi" w:cstheme="minorHAnsi"/>
              </w:rPr>
              <w:t xml:space="preserve"> to refer to the actual group policyholder should be revised to use the term “certificate holder.”</w:t>
            </w:r>
          </w:p>
        </w:tc>
        <w:tc>
          <w:tcPr>
            <w:tcW w:w="4140" w:type="dxa"/>
            <w:shd w:val="clear" w:color="auto" w:fill="auto"/>
            <w:tcMar>
              <w:top w:w="100" w:type="dxa"/>
              <w:left w:w="100" w:type="dxa"/>
              <w:bottom w:w="100" w:type="dxa"/>
              <w:right w:w="100" w:type="dxa"/>
            </w:tcMar>
          </w:tcPr>
          <w:p w:rsidR="00161B6A" w:rsidRPr="0024770D" w:rsidRDefault="00CD42F5"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Updated </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161B6A" w:rsidRPr="007E3F7A" w:rsidRDefault="00610A2F" w:rsidP="00CD42F5">
            <w:pPr>
              <w:pStyle w:val="Header"/>
              <w:rPr>
                <w:rFonts w:asciiTheme="minorHAnsi" w:hAnsiTheme="minorHAnsi" w:cstheme="minorHAnsi"/>
                <w:sz w:val="22"/>
                <w:szCs w:val="22"/>
              </w:rPr>
            </w:pPr>
            <w:r>
              <w:rPr>
                <w:rFonts w:asciiTheme="minorHAnsi" w:hAnsiTheme="minorHAnsi" w:cstheme="minorHAnsi"/>
                <w:sz w:val="22"/>
                <w:szCs w:val="22"/>
              </w:rPr>
              <w:t>15) .04</w:t>
            </w:r>
            <w:r w:rsidR="00CD42F5" w:rsidRPr="007E3F7A">
              <w:rPr>
                <w:rFonts w:asciiTheme="minorHAnsi" w:hAnsiTheme="minorHAnsi" w:cstheme="minorHAnsi"/>
                <w:sz w:val="22"/>
                <w:szCs w:val="22"/>
              </w:rPr>
              <w:t>§</w:t>
            </w:r>
            <w:proofErr w:type="gramStart"/>
            <w:r w:rsidR="00CD42F5" w:rsidRPr="007E3F7A">
              <w:rPr>
                <w:rFonts w:asciiTheme="minorHAnsi" w:hAnsiTheme="minorHAnsi" w:cstheme="minorHAnsi"/>
                <w:sz w:val="22"/>
                <w:szCs w:val="22"/>
              </w:rPr>
              <w:t>D(</w:t>
            </w:r>
            <w:proofErr w:type="gramEnd"/>
            <w:r w:rsidR="00CD42F5" w:rsidRPr="007E3F7A">
              <w:rPr>
                <w:rFonts w:asciiTheme="minorHAnsi" w:hAnsiTheme="minorHAnsi" w:cstheme="minorHAnsi"/>
                <w:sz w:val="22"/>
                <w:szCs w:val="22"/>
              </w:rPr>
              <w:t xml:space="preserve">1) – the draft regulation discusses termination of a small group policy due to the employer’s failure to pay premium.  The regulation assumes a standard grace period of 31 days for every group policy.  The minimum required grace period for group contracts under Maryland regulations is 30 days, and most group contracts use this period.  See </w:t>
            </w:r>
            <w:proofErr w:type="spellStart"/>
            <w:r w:rsidR="00CD42F5" w:rsidRPr="007E3F7A">
              <w:rPr>
                <w:rFonts w:asciiTheme="minorHAnsi" w:hAnsiTheme="minorHAnsi" w:cstheme="minorHAnsi"/>
                <w:sz w:val="22"/>
                <w:szCs w:val="22"/>
              </w:rPr>
              <w:t>COMAR</w:t>
            </w:r>
            <w:proofErr w:type="spellEnd"/>
            <w:r w:rsidR="00CD42F5" w:rsidRPr="007E3F7A">
              <w:rPr>
                <w:rFonts w:asciiTheme="minorHAnsi" w:hAnsiTheme="minorHAnsi" w:cstheme="minorHAnsi"/>
                <w:sz w:val="22"/>
                <w:szCs w:val="22"/>
              </w:rPr>
              <w:t xml:space="preserve"> 31.11.10.04I and 31.12.07.04I.  However, carriers are permitted to offer grace periods longer than 30 days, and many do (although, perhaps, not currently through the SHOP Exchange).  The draft regulations should not specify a particular </w:t>
            </w:r>
            <w:proofErr w:type="gramStart"/>
            <w:r w:rsidR="00CD42F5" w:rsidRPr="007E3F7A">
              <w:rPr>
                <w:rFonts w:asciiTheme="minorHAnsi" w:hAnsiTheme="minorHAnsi" w:cstheme="minorHAnsi"/>
                <w:sz w:val="22"/>
                <w:szCs w:val="22"/>
              </w:rPr>
              <w:t>time period</w:t>
            </w:r>
            <w:proofErr w:type="gramEnd"/>
            <w:r w:rsidR="00CD42F5" w:rsidRPr="007E3F7A">
              <w:rPr>
                <w:rFonts w:asciiTheme="minorHAnsi" w:hAnsiTheme="minorHAnsi" w:cstheme="minorHAnsi"/>
                <w:sz w:val="22"/>
                <w:szCs w:val="22"/>
              </w:rPr>
              <w:t xml:space="preserve"> for the grace period and payment of premium, but should instead indicate generally that the SHOP may terminate a group’s coverage due to nonpayment of premium only if payment is not received by the end of the grace period stated in the group contract.  Furthermore, the last day of coverage </w:t>
            </w:r>
            <w:proofErr w:type="gramStart"/>
            <w:r w:rsidR="00CD42F5" w:rsidRPr="007E3F7A">
              <w:rPr>
                <w:rFonts w:asciiTheme="minorHAnsi" w:hAnsiTheme="minorHAnsi" w:cstheme="minorHAnsi"/>
                <w:sz w:val="22"/>
                <w:szCs w:val="22"/>
              </w:rPr>
              <w:t>should be described</w:t>
            </w:r>
            <w:proofErr w:type="gramEnd"/>
            <w:r w:rsidR="00CD42F5" w:rsidRPr="007E3F7A">
              <w:rPr>
                <w:rFonts w:asciiTheme="minorHAnsi" w:hAnsiTheme="minorHAnsi" w:cstheme="minorHAnsi"/>
                <w:sz w:val="22"/>
                <w:szCs w:val="22"/>
              </w:rPr>
              <w:t xml:space="preserve"> generally as the last day of the grace period specified in the group contract.</w:t>
            </w:r>
          </w:p>
        </w:tc>
        <w:tc>
          <w:tcPr>
            <w:tcW w:w="4140" w:type="dxa"/>
            <w:shd w:val="clear" w:color="auto" w:fill="auto"/>
            <w:tcMar>
              <w:top w:w="100" w:type="dxa"/>
              <w:left w:w="100" w:type="dxa"/>
              <w:bottom w:w="100" w:type="dxa"/>
              <w:right w:w="100" w:type="dxa"/>
            </w:tcMar>
          </w:tcPr>
          <w:p w:rsidR="00161B6A" w:rsidRPr="0024770D" w:rsidRDefault="00CD42F5"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Updated </w:t>
            </w:r>
          </w:p>
        </w:tc>
      </w:tr>
      <w:tr w:rsidR="00161B6A" w:rsidRPr="007E3F7A" w:rsidTr="007E3F7A">
        <w:trPr>
          <w:trHeight w:val="2625"/>
        </w:trPr>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lastRenderedPageBreak/>
              <w:t>MIA</w:t>
            </w:r>
          </w:p>
        </w:tc>
        <w:tc>
          <w:tcPr>
            <w:tcW w:w="8545" w:type="dxa"/>
            <w:shd w:val="clear" w:color="auto" w:fill="auto"/>
            <w:tcMar>
              <w:top w:w="100" w:type="dxa"/>
              <w:left w:w="100" w:type="dxa"/>
              <w:bottom w:w="100" w:type="dxa"/>
              <w:right w:w="100" w:type="dxa"/>
            </w:tcMar>
          </w:tcPr>
          <w:p w:rsidR="00161B6A" w:rsidRPr="007E3F7A" w:rsidRDefault="00610A2F" w:rsidP="00E87C02">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16) .04</w:t>
            </w:r>
            <w:r w:rsidR="00CD42F5" w:rsidRPr="007E3F7A">
              <w:rPr>
                <w:rFonts w:asciiTheme="minorHAnsi" w:hAnsiTheme="minorHAnsi" w:cstheme="minorHAnsi"/>
              </w:rPr>
              <w:t>§</w:t>
            </w:r>
            <w:proofErr w:type="gramStart"/>
            <w:r w:rsidR="00CD42F5" w:rsidRPr="007E3F7A">
              <w:rPr>
                <w:rFonts w:asciiTheme="minorHAnsi" w:hAnsiTheme="minorHAnsi" w:cstheme="minorHAnsi"/>
              </w:rPr>
              <w:t>E(</w:t>
            </w:r>
            <w:proofErr w:type="gramEnd"/>
            <w:r w:rsidR="00CD42F5" w:rsidRPr="007E3F7A">
              <w:rPr>
                <w:rFonts w:asciiTheme="minorHAnsi" w:hAnsiTheme="minorHAnsi" w:cstheme="minorHAnsi"/>
              </w:rPr>
              <w:t xml:space="preserve">5)(a) – the draft regulation indicates that an individual’s enrollment through the SHOP shall be reinstated as required by </w:t>
            </w:r>
            <w:proofErr w:type="spellStart"/>
            <w:r w:rsidR="00CD42F5" w:rsidRPr="007E3F7A">
              <w:rPr>
                <w:rFonts w:asciiTheme="minorHAnsi" w:hAnsiTheme="minorHAnsi" w:cstheme="minorHAnsi"/>
              </w:rPr>
              <w:t>COMAR</w:t>
            </w:r>
            <w:proofErr w:type="spellEnd"/>
            <w:r w:rsidR="00CD42F5" w:rsidRPr="007E3F7A">
              <w:rPr>
                <w:rFonts w:asciiTheme="minorHAnsi" w:hAnsiTheme="minorHAnsi" w:cstheme="minorHAnsi"/>
              </w:rPr>
              <w:t xml:space="preserve"> 31.10.25.04.  This regulation only applies to nonprofit health service plans, and it only applies to individual contracts of insurance.  The regulation does not apply to any type of group plan, so the reference </w:t>
            </w:r>
            <w:proofErr w:type="gramStart"/>
            <w:r w:rsidR="00CD42F5" w:rsidRPr="007E3F7A">
              <w:rPr>
                <w:rFonts w:asciiTheme="minorHAnsi" w:hAnsiTheme="minorHAnsi" w:cstheme="minorHAnsi"/>
              </w:rPr>
              <w:t>should be deleted</w:t>
            </w:r>
            <w:proofErr w:type="gramEnd"/>
            <w:r w:rsidR="00CD42F5" w:rsidRPr="007E3F7A">
              <w:rPr>
                <w:rFonts w:asciiTheme="minorHAnsi" w:hAnsiTheme="minorHAnsi" w:cstheme="minorHAnsi"/>
              </w:rPr>
              <w:t>.</w:t>
            </w:r>
          </w:p>
        </w:tc>
        <w:tc>
          <w:tcPr>
            <w:tcW w:w="4140" w:type="dxa"/>
            <w:shd w:val="clear" w:color="auto" w:fill="auto"/>
            <w:tcMar>
              <w:top w:w="100" w:type="dxa"/>
              <w:left w:w="100" w:type="dxa"/>
              <w:bottom w:w="100" w:type="dxa"/>
              <w:right w:w="100" w:type="dxa"/>
            </w:tcMar>
          </w:tcPr>
          <w:p w:rsidR="00161B6A" w:rsidRPr="0024770D" w:rsidRDefault="00CD42F5" w:rsidP="00161B6A">
            <w:pPr>
              <w:pStyle w:val="Header"/>
              <w:rPr>
                <w:rFonts w:asciiTheme="minorHAnsi" w:hAnsiTheme="minorHAnsi" w:cstheme="minorHAnsi"/>
                <w:sz w:val="22"/>
                <w:szCs w:val="22"/>
              </w:rPr>
            </w:pPr>
            <w:r w:rsidRPr="0024770D">
              <w:rPr>
                <w:rFonts w:asciiTheme="minorHAnsi" w:hAnsiTheme="minorHAnsi" w:cstheme="minorHAnsi"/>
                <w:sz w:val="22"/>
                <w:szCs w:val="22"/>
              </w:rPr>
              <w:t>Updated</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610A2F" w:rsidP="00DD0D8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MIA</w:t>
            </w:r>
          </w:p>
        </w:tc>
        <w:tc>
          <w:tcPr>
            <w:tcW w:w="8545" w:type="dxa"/>
            <w:shd w:val="clear" w:color="auto" w:fill="auto"/>
            <w:tcMar>
              <w:top w:w="100" w:type="dxa"/>
              <w:left w:w="100" w:type="dxa"/>
              <w:bottom w:w="100" w:type="dxa"/>
              <w:right w:w="100" w:type="dxa"/>
            </w:tcMar>
          </w:tcPr>
          <w:p w:rsidR="00CD42F5" w:rsidRPr="007E3F7A" w:rsidRDefault="00610A2F" w:rsidP="007E3F7A">
            <w:pPr>
              <w:pStyle w:val="Header"/>
              <w:rPr>
                <w:rFonts w:asciiTheme="minorHAnsi" w:hAnsiTheme="minorHAnsi" w:cstheme="minorHAnsi"/>
                <w:sz w:val="22"/>
                <w:szCs w:val="22"/>
              </w:rPr>
            </w:pPr>
            <w:r>
              <w:rPr>
                <w:rFonts w:asciiTheme="minorHAnsi" w:hAnsiTheme="minorHAnsi" w:cstheme="minorHAnsi"/>
                <w:sz w:val="22"/>
                <w:szCs w:val="22"/>
              </w:rPr>
              <w:t>17) .07</w:t>
            </w:r>
            <w:r w:rsidR="00CD42F5" w:rsidRPr="007E3F7A">
              <w:rPr>
                <w:rFonts w:asciiTheme="minorHAnsi" w:hAnsiTheme="minorHAnsi" w:cstheme="minorHAnsi"/>
                <w:sz w:val="22"/>
                <w:szCs w:val="22"/>
              </w:rPr>
              <w:t xml:space="preserve"> Establishing </w:t>
            </w:r>
            <w:proofErr w:type="gramStart"/>
            <w:r w:rsidR="00CD42F5" w:rsidRPr="007E3F7A">
              <w:rPr>
                <w:rFonts w:asciiTheme="minorHAnsi" w:hAnsiTheme="minorHAnsi" w:cstheme="minorHAnsi"/>
                <w:sz w:val="22"/>
                <w:szCs w:val="22"/>
              </w:rPr>
              <w:t>premium rating</w:t>
            </w:r>
            <w:proofErr w:type="gramEnd"/>
            <w:r w:rsidR="00CD42F5" w:rsidRPr="007E3F7A">
              <w:rPr>
                <w:rFonts w:asciiTheme="minorHAnsi" w:hAnsiTheme="minorHAnsi" w:cstheme="minorHAnsi"/>
                <w:sz w:val="22"/>
                <w:szCs w:val="22"/>
              </w:rPr>
              <w:t xml:space="preserve"> requirements are within the purview of the legislature and the MIA. Section 31-115(g) requires a carrier seeking certification as a </w:t>
            </w:r>
            <w:proofErr w:type="spellStart"/>
            <w:r w:rsidR="00CD42F5" w:rsidRPr="007E3F7A">
              <w:rPr>
                <w:rFonts w:asciiTheme="minorHAnsi" w:hAnsiTheme="minorHAnsi" w:cstheme="minorHAnsi"/>
                <w:sz w:val="22"/>
                <w:szCs w:val="22"/>
              </w:rPr>
              <w:t>QHP</w:t>
            </w:r>
            <w:proofErr w:type="spellEnd"/>
            <w:r w:rsidR="00CD42F5" w:rsidRPr="007E3F7A">
              <w:rPr>
                <w:rFonts w:asciiTheme="minorHAnsi" w:hAnsiTheme="minorHAnsi" w:cstheme="minorHAnsi"/>
                <w:sz w:val="22"/>
                <w:szCs w:val="22"/>
              </w:rPr>
              <w:t xml:space="preserve"> to give the Exchange advance notice of a premium increase, but the Exchange has no other authority over carriers related to premium rates. Also, § 31-115(f</w:t>
            </w:r>
            <w:proofErr w:type="gramStart"/>
            <w:r w:rsidR="00CD42F5" w:rsidRPr="007E3F7A">
              <w:rPr>
                <w:rFonts w:asciiTheme="minorHAnsi" w:hAnsiTheme="minorHAnsi" w:cstheme="minorHAnsi"/>
                <w:sz w:val="22"/>
                <w:szCs w:val="22"/>
              </w:rPr>
              <w:t>)(</w:t>
            </w:r>
            <w:proofErr w:type="gramEnd"/>
            <w:r w:rsidR="00CD42F5" w:rsidRPr="007E3F7A">
              <w:rPr>
                <w:rFonts w:asciiTheme="minorHAnsi" w:hAnsiTheme="minorHAnsi" w:cstheme="minorHAnsi"/>
                <w:sz w:val="22"/>
                <w:szCs w:val="22"/>
              </w:rPr>
              <w:t xml:space="preserve">2) states that the </w:t>
            </w:r>
            <w:proofErr w:type="spellStart"/>
            <w:r w:rsidR="00CD42F5" w:rsidRPr="007E3F7A">
              <w:rPr>
                <w:rFonts w:asciiTheme="minorHAnsi" w:hAnsiTheme="minorHAnsi" w:cstheme="minorHAnsi"/>
                <w:sz w:val="22"/>
                <w:szCs w:val="22"/>
              </w:rPr>
              <w:t>MHBE</w:t>
            </w:r>
            <w:proofErr w:type="spellEnd"/>
            <w:r w:rsidR="00CD42F5" w:rsidRPr="007E3F7A">
              <w:rPr>
                <w:rFonts w:asciiTheme="minorHAnsi" w:hAnsiTheme="minorHAnsi" w:cstheme="minorHAnsi"/>
                <w:sz w:val="22"/>
                <w:szCs w:val="22"/>
              </w:rPr>
              <w:t xml:space="preserve"> may not deny </w:t>
            </w:r>
            <w:proofErr w:type="spellStart"/>
            <w:r w:rsidR="00CD42F5" w:rsidRPr="007E3F7A">
              <w:rPr>
                <w:rFonts w:asciiTheme="minorHAnsi" w:hAnsiTheme="minorHAnsi" w:cstheme="minorHAnsi"/>
                <w:sz w:val="22"/>
                <w:szCs w:val="22"/>
              </w:rPr>
              <w:t>QHP</w:t>
            </w:r>
            <w:proofErr w:type="spellEnd"/>
            <w:r w:rsidR="00CD42F5" w:rsidRPr="007E3F7A">
              <w:rPr>
                <w:rFonts w:asciiTheme="minorHAnsi" w:hAnsiTheme="minorHAnsi" w:cstheme="minorHAnsi"/>
                <w:sz w:val="22"/>
                <w:szCs w:val="22"/>
              </w:rPr>
              <w:t xml:space="preserve"> certification “through the imposition of premium price controls by the Exchange.”</w:t>
            </w:r>
          </w:p>
          <w:p w:rsidR="00161B6A" w:rsidRPr="007E3F7A" w:rsidRDefault="00161B6A" w:rsidP="00E87C02">
            <w:pPr>
              <w:widowControl w:val="0"/>
              <w:pBdr>
                <w:top w:val="nil"/>
                <w:left w:val="nil"/>
                <w:bottom w:val="nil"/>
                <w:right w:val="nil"/>
                <w:between w:val="nil"/>
              </w:pBdr>
              <w:spacing w:line="240" w:lineRule="auto"/>
              <w:rPr>
                <w:rFonts w:asciiTheme="minorHAnsi" w:hAnsiTheme="minorHAnsi" w:cstheme="minorHAnsi"/>
              </w:rPr>
            </w:pPr>
          </w:p>
        </w:tc>
        <w:tc>
          <w:tcPr>
            <w:tcW w:w="4140" w:type="dxa"/>
            <w:shd w:val="clear" w:color="auto" w:fill="auto"/>
            <w:tcMar>
              <w:top w:w="100" w:type="dxa"/>
              <w:left w:w="100" w:type="dxa"/>
              <w:bottom w:w="100" w:type="dxa"/>
              <w:right w:w="100" w:type="dxa"/>
            </w:tcMar>
          </w:tcPr>
          <w:p w:rsidR="00161B6A" w:rsidRPr="0024770D" w:rsidRDefault="001E4018"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Revised to reflect </w:t>
            </w:r>
            <w:proofErr w:type="spellStart"/>
            <w:r w:rsidRPr="0024770D">
              <w:rPr>
                <w:rFonts w:asciiTheme="minorHAnsi" w:hAnsiTheme="minorHAnsi" w:cstheme="minorHAnsi"/>
                <w:sz w:val="22"/>
                <w:szCs w:val="22"/>
              </w:rPr>
              <w:t>MHBE</w:t>
            </w:r>
            <w:proofErr w:type="spellEnd"/>
            <w:r w:rsidRPr="0024770D">
              <w:rPr>
                <w:rFonts w:asciiTheme="minorHAnsi" w:hAnsiTheme="minorHAnsi" w:cstheme="minorHAnsi"/>
                <w:sz w:val="22"/>
                <w:szCs w:val="22"/>
              </w:rPr>
              <w:t xml:space="preserve"> authority</w:t>
            </w:r>
          </w:p>
        </w:tc>
      </w:tr>
      <w:tr w:rsidR="00161B6A" w:rsidRPr="007E3F7A" w:rsidTr="007E3F7A">
        <w:tc>
          <w:tcPr>
            <w:tcW w:w="2345" w:type="dxa"/>
            <w:shd w:val="clear" w:color="auto" w:fill="auto"/>
            <w:tcMar>
              <w:top w:w="100" w:type="dxa"/>
              <w:left w:w="100" w:type="dxa"/>
              <w:bottom w:w="100" w:type="dxa"/>
              <w:right w:w="100" w:type="dxa"/>
            </w:tcMar>
          </w:tcPr>
          <w:p w:rsidR="00161B6A" w:rsidRPr="007E3F7A" w:rsidRDefault="007E3F7A"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161B6A" w:rsidRPr="007E3F7A"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Comments re: definitions</w:t>
            </w:r>
          </w:p>
        </w:tc>
        <w:tc>
          <w:tcPr>
            <w:tcW w:w="4140" w:type="dxa"/>
            <w:shd w:val="clear" w:color="auto" w:fill="auto"/>
            <w:tcMar>
              <w:top w:w="100" w:type="dxa"/>
              <w:left w:w="100" w:type="dxa"/>
              <w:bottom w:w="100" w:type="dxa"/>
              <w:right w:w="100" w:type="dxa"/>
            </w:tcMar>
          </w:tcPr>
          <w:p w:rsidR="00161B6A" w:rsidRPr="0024770D" w:rsidRDefault="007E3F7A" w:rsidP="00161B6A">
            <w:pPr>
              <w:pStyle w:val="Header"/>
              <w:rPr>
                <w:rFonts w:asciiTheme="minorHAnsi" w:hAnsiTheme="minorHAnsi" w:cstheme="minorHAnsi"/>
                <w:sz w:val="22"/>
                <w:szCs w:val="22"/>
              </w:rPr>
            </w:pPr>
            <w:r w:rsidRPr="0024770D">
              <w:rPr>
                <w:rFonts w:asciiTheme="minorHAnsi" w:hAnsiTheme="minorHAnsi" w:cstheme="minorHAnsi"/>
                <w:sz w:val="22"/>
                <w:szCs w:val="22"/>
              </w:rPr>
              <w:t>Addressed per MIA comments</w:t>
            </w:r>
          </w:p>
        </w:tc>
      </w:tr>
      <w:tr w:rsidR="002D6968" w:rsidRPr="007E3F7A" w:rsidTr="007E3F7A">
        <w:tc>
          <w:tcPr>
            <w:tcW w:w="2345" w:type="dxa"/>
            <w:shd w:val="clear" w:color="auto" w:fill="auto"/>
            <w:tcMar>
              <w:top w:w="100" w:type="dxa"/>
              <w:left w:w="100" w:type="dxa"/>
              <w:bottom w:w="100" w:type="dxa"/>
              <w:right w:w="100" w:type="dxa"/>
            </w:tcMar>
          </w:tcPr>
          <w:p w:rsidR="002D6968" w:rsidRPr="007E3F7A" w:rsidRDefault="002D6968" w:rsidP="00DD0D8B">
            <w:pPr>
              <w:widowControl w:val="0"/>
              <w:pBdr>
                <w:top w:val="nil"/>
                <w:left w:val="nil"/>
                <w:bottom w:val="nil"/>
                <w:right w:val="nil"/>
                <w:between w:val="nil"/>
              </w:pBdr>
              <w:spacing w:line="240" w:lineRule="auto"/>
              <w:rPr>
                <w:rFonts w:asciiTheme="minorHAnsi" w:hAnsiTheme="minorHAnsi" w:cstheme="minorHAnsi"/>
              </w:rPr>
            </w:pPr>
          </w:p>
        </w:tc>
        <w:tc>
          <w:tcPr>
            <w:tcW w:w="8545" w:type="dxa"/>
            <w:shd w:val="clear" w:color="auto" w:fill="auto"/>
            <w:tcMar>
              <w:top w:w="100" w:type="dxa"/>
              <w:left w:w="100" w:type="dxa"/>
              <w:bottom w:w="100" w:type="dxa"/>
              <w:right w:w="100" w:type="dxa"/>
            </w:tcMar>
          </w:tcPr>
          <w:p w:rsidR="002D6968" w:rsidRPr="002D6968" w:rsidRDefault="002D6968" w:rsidP="00E87C02">
            <w:pPr>
              <w:widowControl w:val="0"/>
              <w:pBdr>
                <w:top w:val="nil"/>
                <w:left w:val="nil"/>
                <w:bottom w:val="nil"/>
                <w:right w:val="nil"/>
                <w:between w:val="nil"/>
              </w:pBdr>
              <w:spacing w:line="240" w:lineRule="auto"/>
              <w:rPr>
                <w:rFonts w:asciiTheme="minorHAnsi" w:hAnsiTheme="minorHAnsi" w:cstheme="minorHAnsi"/>
                <w:b/>
              </w:rPr>
            </w:pPr>
            <w:r w:rsidRPr="002D6968">
              <w:rPr>
                <w:rFonts w:asciiTheme="minorHAnsi" w:hAnsiTheme="minorHAnsi" w:cstheme="minorHAnsi"/>
                <w:b/>
              </w:rPr>
              <w:t>Eligibility</w:t>
            </w:r>
          </w:p>
        </w:tc>
        <w:tc>
          <w:tcPr>
            <w:tcW w:w="4140" w:type="dxa"/>
            <w:shd w:val="clear" w:color="auto" w:fill="auto"/>
            <w:tcMar>
              <w:top w:w="100" w:type="dxa"/>
              <w:left w:w="100" w:type="dxa"/>
              <w:bottom w:w="100" w:type="dxa"/>
              <w:right w:w="100" w:type="dxa"/>
            </w:tcMar>
          </w:tcPr>
          <w:p w:rsidR="002D6968" w:rsidRPr="0024770D" w:rsidRDefault="002D6968" w:rsidP="00161B6A">
            <w:pPr>
              <w:pStyle w:val="Header"/>
              <w:rPr>
                <w:rFonts w:asciiTheme="minorHAnsi" w:hAnsiTheme="minorHAnsi" w:cstheme="minorHAnsi"/>
                <w:sz w:val="22"/>
                <w:szCs w:val="22"/>
              </w:rPr>
            </w:pPr>
          </w:p>
        </w:tc>
      </w:tr>
      <w:tr w:rsidR="00161B6A" w:rsidRPr="007E3F7A" w:rsidTr="007E3F7A">
        <w:trPr>
          <w:trHeight w:val="483"/>
        </w:trPr>
        <w:tc>
          <w:tcPr>
            <w:tcW w:w="2345" w:type="dxa"/>
            <w:shd w:val="clear" w:color="auto" w:fill="auto"/>
            <w:tcMar>
              <w:top w:w="100" w:type="dxa"/>
              <w:left w:w="100" w:type="dxa"/>
              <w:bottom w:w="100" w:type="dxa"/>
              <w:right w:w="100" w:type="dxa"/>
            </w:tcMar>
          </w:tcPr>
          <w:p w:rsidR="00161B6A" w:rsidRPr="007E3F7A"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161B6A" w:rsidRPr="007E3F7A"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B. SHOP Exchange employer eligibility. This section is inconsistent with existing state law--specifically, the Ins. Article states that a small employer must have "an average of not more than 50 employees”, but the draft regulation states "fewer than 50 employees", presumably measured at the time of enrollment. CareFirst recommends that this section simply cross-reference the appropriate IRS regulation and Ins. Art. § 31-101(z</w:t>
            </w:r>
            <w:proofErr w:type="gramStart"/>
            <w:r w:rsidRPr="007E3F7A">
              <w:rPr>
                <w:rFonts w:asciiTheme="minorHAnsi" w:hAnsiTheme="minorHAnsi" w:cstheme="minorHAnsi"/>
              </w:rPr>
              <w:t>)(</w:t>
            </w:r>
            <w:proofErr w:type="gramEnd"/>
            <w:r w:rsidRPr="007E3F7A">
              <w:rPr>
                <w:rFonts w:asciiTheme="minorHAnsi" w:hAnsiTheme="minorHAnsi" w:cstheme="minorHAnsi"/>
              </w:rPr>
              <w:t>1).</w:t>
            </w:r>
          </w:p>
        </w:tc>
        <w:tc>
          <w:tcPr>
            <w:tcW w:w="4140" w:type="dxa"/>
            <w:shd w:val="clear" w:color="auto" w:fill="auto"/>
            <w:tcMar>
              <w:top w:w="100" w:type="dxa"/>
              <w:left w:w="100" w:type="dxa"/>
              <w:bottom w:w="100" w:type="dxa"/>
              <w:right w:w="100" w:type="dxa"/>
            </w:tcMar>
          </w:tcPr>
          <w:p w:rsidR="00161B6A" w:rsidRPr="0024770D" w:rsidRDefault="007E3F7A" w:rsidP="00161B6A">
            <w:pPr>
              <w:pStyle w:val="Header"/>
              <w:rPr>
                <w:rFonts w:asciiTheme="minorHAnsi" w:hAnsiTheme="minorHAnsi" w:cstheme="minorHAnsi"/>
                <w:sz w:val="22"/>
                <w:szCs w:val="22"/>
              </w:rPr>
            </w:pPr>
            <w:r w:rsidRPr="0024770D">
              <w:rPr>
                <w:rFonts w:asciiTheme="minorHAnsi" w:hAnsiTheme="minorHAnsi" w:cstheme="minorHAnsi"/>
                <w:sz w:val="22"/>
                <w:szCs w:val="22"/>
              </w:rPr>
              <w:t>Updated per similar comment from MIA</w:t>
            </w:r>
          </w:p>
        </w:tc>
      </w:tr>
      <w:tr w:rsidR="00161B6A" w:rsidRPr="002D6968" w:rsidTr="007E3F7A">
        <w:tc>
          <w:tcPr>
            <w:tcW w:w="2345" w:type="dxa"/>
            <w:shd w:val="clear" w:color="auto" w:fill="auto"/>
            <w:tcMar>
              <w:top w:w="100" w:type="dxa"/>
              <w:left w:w="100" w:type="dxa"/>
              <w:bottom w:w="100" w:type="dxa"/>
              <w:right w:w="100" w:type="dxa"/>
            </w:tcMar>
          </w:tcPr>
          <w:p w:rsidR="00161B6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161B6A" w:rsidRPr="002D6968"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2D6968">
              <w:rPr>
                <w:rFonts w:asciiTheme="minorHAnsi" w:hAnsiTheme="minorHAnsi" w:cstheme="minorHAnsi"/>
                <w:b/>
                <w:bCs/>
              </w:rPr>
              <w:t xml:space="preserve">C. New Employers. </w:t>
            </w:r>
            <w:r w:rsidRPr="002D6968">
              <w:rPr>
                <w:rFonts w:asciiTheme="minorHAnsi" w:hAnsiTheme="minorHAnsi" w:cstheme="minorHAnsi"/>
              </w:rPr>
              <w:t xml:space="preserve">This provision </w:t>
            </w:r>
            <w:proofErr w:type="gramStart"/>
            <w:r w:rsidRPr="002D6968">
              <w:rPr>
                <w:rFonts w:asciiTheme="minorHAnsi" w:hAnsiTheme="minorHAnsi" w:cstheme="minorHAnsi"/>
              </w:rPr>
              <w:t>is already encompassed</w:t>
            </w:r>
            <w:proofErr w:type="gramEnd"/>
            <w:r w:rsidRPr="002D6968">
              <w:rPr>
                <w:rFonts w:asciiTheme="minorHAnsi" w:hAnsiTheme="minorHAnsi" w:cstheme="minorHAnsi"/>
              </w:rPr>
              <w:t xml:space="preserve"> in Md. Ins. Art. § 31-101 and does not need to be restated.</w:t>
            </w:r>
          </w:p>
        </w:tc>
        <w:tc>
          <w:tcPr>
            <w:tcW w:w="4140" w:type="dxa"/>
            <w:shd w:val="clear" w:color="auto" w:fill="auto"/>
            <w:tcMar>
              <w:top w:w="100" w:type="dxa"/>
              <w:left w:w="100" w:type="dxa"/>
              <w:bottom w:w="100" w:type="dxa"/>
              <w:right w:w="100" w:type="dxa"/>
            </w:tcMar>
          </w:tcPr>
          <w:p w:rsidR="00161B6A" w:rsidRPr="0024770D" w:rsidRDefault="00D03D3F" w:rsidP="002D6968">
            <w:pPr>
              <w:pStyle w:val="Header"/>
              <w:rPr>
                <w:rFonts w:asciiTheme="minorHAnsi" w:hAnsiTheme="minorHAnsi" w:cstheme="minorHAnsi"/>
                <w:sz w:val="22"/>
                <w:szCs w:val="22"/>
              </w:rPr>
            </w:pPr>
            <w:r w:rsidRPr="0024770D">
              <w:rPr>
                <w:rFonts w:asciiTheme="minorHAnsi" w:hAnsiTheme="minorHAnsi" w:cstheme="minorHAnsi"/>
                <w:sz w:val="22"/>
                <w:szCs w:val="22"/>
              </w:rPr>
              <w:t>Updated with the Ins Code</w:t>
            </w:r>
          </w:p>
        </w:tc>
      </w:tr>
      <w:tr w:rsidR="00161B6A" w:rsidRPr="002D6968" w:rsidTr="007E3F7A">
        <w:tc>
          <w:tcPr>
            <w:tcW w:w="2345" w:type="dxa"/>
            <w:shd w:val="clear" w:color="auto" w:fill="auto"/>
            <w:tcMar>
              <w:top w:w="100" w:type="dxa"/>
              <w:left w:w="100" w:type="dxa"/>
              <w:bottom w:w="100" w:type="dxa"/>
              <w:right w:w="100" w:type="dxa"/>
            </w:tcMar>
          </w:tcPr>
          <w:p w:rsidR="00161B6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161B6A" w:rsidRPr="002D6968"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2D6968">
              <w:rPr>
                <w:rFonts w:asciiTheme="minorHAnsi" w:hAnsiTheme="minorHAnsi" w:cstheme="minorHAnsi"/>
                <w:b/>
                <w:bCs/>
              </w:rPr>
              <w:t xml:space="preserve">E. Duration of Eligibility. </w:t>
            </w:r>
            <w:r w:rsidRPr="002D6968">
              <w:rPr>
                <w:rFonts w:asciiTheme="minorHAnsi" w:hAnsiTheme="minorHAnsi" w:cstheme="minorHAnsi"/>
              </w:rPr>
              <w:t>The regulation should cite to 45 CFR 155.710(d), not 45 CFR 155.710(b).</w:t>
            </w:r>
          </w:p>
        </w:tc>
        <w:tc>
          <w:tcPr>
            <w:tcW w:w="4140" w:type="dxa"/>
            <w:shd w:val="clear" w:color="auto" w:fill="auto"/>
            <w:tcMar>
              <w:top w:w="100" w:type="dxa"/>
              <w:left w:w="100" w:type="dxa"/>
              <w:bottom w:w="100" w:type="dxa"/>
              <w:right w:w="100" w:type="dxa"/>
            </w:tcMar>
          </w:tcPr>
          <w:p w:rsidR="00161B6A" w:rsidRPr="0024770D" w:rsidRDefault="002D6968" w:rsidP="002D6968">
            <w:pPr>
              <w:pStyle w:val="Header"/>
              <w:rPr>
                <w:rFonts w:asciiTheme="minorHAnsi" w:hAnsiTheme="minorHAnsi" w:cstheme="minorHAnsi"/>
                <w:sz w:val="22"/>
                <w:szCs w:val="22"/>
              </w:rPr>
            </w:pPr>
            <w:r w:rsidRPr="0024770D">
              <w:rPr>
                <w:rFonts w:asciiTheme="minorHAnsi" w:hAnsiTheme="minorHAnsi" w:cstheme="minorHAnsi"/>
                <w:sz w:val="22"/>
                <w:szCs w:val="22"/>
              </w:rPr>
              <w:t>(b) was the intended citation</w:t>
            </w:r>
          </w:p>
        </w:tc>
      </w:tr>
      <w:tr w:rsidR="00161B6A" w:rsidRPr="002D6968" w:rsidTr="007E3F7A">
        <w:tc>
          <w:tcPr>
            <w:tcW w:w="2345" w:type="dxa"/>
            <w:shd w:val="clear" w:color="auto" w:fill="auto"/>
            <w:tcMar>
              <w:top w:w="100" w:type="dxa"/>
              <w:left w:w="100" w:type="dxa"/>
              <w:bottom w:w="100" w:type="dxa"/>
              <w:right w:w="100" w:type="dxa"/>
            </w:tcMar>
          </w:tcPr>
          <w:p w:rsidR="00161B6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lastRenderedPageBreak/>
              <w:t>CareFirst</w:t>
            </w:r>
          </w:p>
        </w:tc>
        <w:tc>
          <w:tcPr>
            <w:tcW w:w="8545" w:type="dxa"/>
            <w:shd w:val="clear" w:color="auto" w:fill="auto"/>
            <w:tcMar>
              <w:top w:w="100" w:type="dxa"/>
              <w:left w:w="100" w:type="dxa"/>
              <w:bottom w:w="100" w:type="dxa"/>
              <w:right w:w="100" w:type="dxa"/>
            </w:tcMar>
          </w:tcPr>
          <w:p w:rsidR="00161B6A" w:rsidRPr="002D6968"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2D6968">
              <w:rPr>
                <w:rFonts w:asciiTheme="minorHAnsi" w:hAnsiTheme="minorHAnsi" w:cstheme="minorHAnsi"/>
                <w:b/>
                <w:bCs/>
              </w:rPr>
              <w:t xml:space="preserve">F. (Eligible employee), G. (Groups with non-common law employees), H. (Household employers). </w:t>
            </w:r>
            <w:r w:rsidRPr="002D6968">
              <w:rPr>
                <w:rFonts w:asciiTheme="minorHAnsi" w:hAnsiTheme="minorHAnsi" w:cstheme="minorHAnsi"/>
              </w:rPr>
              <w:t xml:space="preserve">This </w:t>
            </w:r>
            <w:proofErr w:type="gramStart"/>
            <w:r w:rsidRPr="002D6968">
              <w:rPr>
                <w:rFonts w:asciiTheme="minorHAnsi" w:hAnsiTheme="minorHAnsi" w:cstheme="minorHAnsi"/>
              </w:rPr>
              <w:t>is already encompassed</w:t>
            </w:r>
            <w:proofErr w:type="gramEnd"/>
            <w:r w:rsidRPr="002D6968">
              <w:rPr>
                <w:rFonts w:asciiTheme="minorHAnsi" w:hAnsiTheme="minorHAnsi" w:cstheme="minorHAnsi"/>
              </w:rPr>
              <w:t xml:space="preserve"> in federal regulations and does not need to be restated.</w:t>
            </w:r>
          </w:p>
        </w:tc>
        <w:tc>
          <w:tcPr>
            <w:tcW w:w="4140" w:type="dxa"/>
            <w:shd w:val="clear" w:color="auto" w:fill="auto"/>
            <w:tcMar>
              <w:top w:w="100" w:type="dxa"/>
              <w:left w:w="100" w:type="dxa"/>
              <w:bottom w:w="100" w:type="dxa"/>
              <w:right w:w="100" w:type="dxa"/>
            </w:tcMar>
          </w:tcPr>
          <w:p w:rsidR="00161B6A" w:rsidRPr="0024770D" w:rsidRDefault="00D03D3F" w:rsidP="00161B6A">
            <w:pPr>
              <w:pStyle w:val="Header"/>
              <w:rPr>
                <w:rFonts w:asciiTheme="minorHAnsi" w:hAnsiTheme="minorHAnsi" w:cstheme="minorHAnsi"/>
                <w:sz w:val="22"/>
                <w:szCs w:val="22"/>
              </w:rPr>
            </w:pPr>
            <w:r w:rsidRPr="0024770D">
              <w:rPr>
                <w:rFonts w:asciiTheme="minorHAnsi" w:hAnsiTheme="minorHAnsi" w:cstheme="minorHAnsi"/>
                <w:sz w:val="22"/>
              </w:rPr>
              <w:t xml:space="preserve">Please refer to the document regarding </w:t>
            </w:r>
            <w:proofErr w:type="spellStart"/>
            <w:r w:rsidRPr="0024770D">
              <w:rPr>
                <w:rFonts w:asciiTheme="minorHAnsi" w:hAnsiTheme="minorHAnsi" w:cstheme="minorHAnsi"/>
                <w:sz w:val="22"/>
              </w:rPr>
              <w:t>MHBE's</w:t>
            </w:r>
            <w:proofErr w:type="spellEnd"/>
            <w:r w:rsidRPr="0024770D">
              <w:rPr>
                <w:rFonts w:asciiTheme="minorHAnsi" w:hAnsiTheme="minorHAnsi" w:cstheme="minorHAnsi"/>
                <w:sz w:val="22"/>
              </w:rPr>
              <w:t xml:space="preserve"> approach to implementing federal requirements in state regulations for additional information about this approach, which may be found here: </w:t>
            </w:r>
            <w:hyperlink r:id="rId5" w:history="1">
              <w:r w:rsidR="001E4018" w:rsidRPr="0024770D">
                <w:rPr>
                  <w:rStyle w:val="Hyperlink"/>
                  <w:color w:val="auto"/>
                </w:rPr>
                <w:t>https://www.marylandhbe.com/wp-content/uploads/2012/11/MHBE-Approach-to-Implementing-Federal-Requirements-through-State-Regulations.pdf</w:t>
              </w:r>
            </w:hyperlink>
          </w:p>
        </w:tc>
      </w:tr>
      <w:tr w:rsidR="00161B6A" w:rsidRPr="002D6968" w:rsidTr="007E3F7A">
        <w:tc>
          <w:tcPr>
            <w:tcW w:w="2345" w:type="dxa"/>
            <w:shd w:val="clear" w:color="auto" w:fill="auto"/>
            <w:tcMar>
              <w:top w:w="100" w:type="dxa"/>
              <w:left w:w="100" w:type="dxa"/>
              <w:bottom w:w="100" w:type="dxa"/>
              <w:right w:w="100" w:type="dxa"/>
            </w:tcMar>
          </w:tcPr>
          <w:p w:rsidR="00161B6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161B6A" w:rsidRPr="002D6968" w:rsidRDefault="007E3F7A" w:rsidP="00E87C02">
            <w:pPr>
              <w:widowControl w:val="0"/>
              <w:pBdr>
                <w:top w:val="nil"/>
                <w:left w:val="nil"/>
                <w:bottom w:val="nil"/>
                <w:right w:val="nil"/>
                <w:between w:val="nil"/>
              </w:pBdr>
              <w:spacing w:line="240" w:lineRule="auto"/>
              <w:rPr>
                <w:rFonts w:asciiTheme="minorHAnsi" w:hAnsiTheme="minorHAnsi" w:cstheme="minorHAnsi"/>
              </w:rPr>
            </w:pPr>
            <w:r w:rsidRPr="002D6968">
              <w:rPr>
                <w:rFonts w:asciiTheme="minorHAnsi" w:hAnsiTheme="minorHAnsi" w:cstheme="minorHAnsi"/>
                <w:b/>
                <w:bCs/>
              </w:rPr>
              <w:t xml:space="preserve">N. (Eligibility adjustment period) and O. (Employer eligibility appeal). </w:t>
            </w:r>
            <w:r w:rsidRPr="002D6968">
              <w:rPr>
                <w:rFonts w:asciiTheme="minorHAnsi" w:hAnsiTheme="minorHAnsi" w:cstheme="minorHAnsi"/>
              </w:rPr>
              <w:t>The proposed regulations should cite to the applicable federal regulations.</w:t>
            </w:r>
          </w:p>
        </w:tc>
        <w:tc>
          <w:tcPr>
            <w:tcW w:w="4140" w:type="dxa"/>
            <w:shd w:val="clear" w:color="auto" w:fill="auto"/>
            <w:tcMar>
              <w:top w:w="100" w:type="dxa"/>
              <w:left w:w="100" w:type="dxa"/>
              <w:bottom w:w="100" w:type="dxa"/>
              <w:right w:w="100" w:type="dxa"/>
            </w:tcMar>
          </w:tcPr>
          <w:p w:rsidR="00161B6A" w:rsidRPr="0024770D" w:rsidRDefault="00893D42" w:rsidP="00D03D3F">
            <w:pPr>
              <w:pStyle w:val="Header"/>
              <w:rPr>
                <w:rFonts w:asciiTheme="minorHAnsi" w:hAnsiTheme="minorHAnsi" w:cstheme="minorHAnsi"/>
                <w:sz w:val="22"/>
              </w:rPr>
            </w:pPr>
            <w:r w:rsidRPr="0024770D">
              <w:rPr>
                <w:rFonts w:asciiTheme="minorHAnsi" w:hAnsiTheme="minorHAnsi" w:cstheme="minorHAnsi"/>
                <w:sz w:val="24"/>
                <w:szCs w:val="22"/>
              </w:rPr>
              <w:t>See comment above</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7E3F7A" w:rsidP="00DD0D8B">
            <w:pPr>
              <w:widowControl w:val="0"/>
              <w:pBdr>
                <w:top w:val="nil"/>
                <w:left w:val="nil"/>
                <w:bottom w:val="nil"/>
                <w:right w:val="nil"/>
                <w:between w:val="nil"/>
              </w:pBdr>
              <w:spacing w:line="240" w:lineRule="auto"/>
              <w:rPr>
                <w:rFonts w:asciiTheme="minorHAnsi" w:hAnsiTheme="minorHAnsi" w:cstheme="minorHAnsi"/>
              </w:rPr>
            </w:pP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Enrollment: </w:t>
            </w:r>
          </w:p>
        </w:tc>
        <w:tc>
          <w:tcPr>
            <w:tcW w:w="4140" w:type="dxa"/>
            <w:shd w:val="clear" w:color="auto" w:fill="auto"/>
            <w:tcMar>
              <w:top w:w="100" w:type="dxa"/>
              <w:left w:w="100" w:type="dxa"/>
              <w:bottom w:w="100" w:type="dxa"/>
              <w:right w:w="100" w:type="dxa"/>
            </w:tcMar>
          </w:tcPr>
          <w:p w:rsidR="007E3F7A" w:rsidRPr="0024770D" w:rsidRDefault="007E3F7A" w:rsidP="00161B6A">
            <w:pPr>
              <w:pStyle w:val="Header"/>
              <w:rPr>
                <w:rFonts w:asciiTheme="minorHAnsi" w:hAnsiTheme="minorHAnsi" w:cstheme="minorHAnsi"/>
                <w:sz w:val="22"/>
                <w:szCs w:val="22"/>
              </w:rPr>
            </w:pP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C. Group Effective Coverage Dates. </w:t>
            </w:r>
            <w:r w:rsidRPr="002D6968">
              <w:rPr>
                <w:rFonts w:asciiTheme="minorHAnsi" w:hAnsiTheme="minorHAnsi" w:cstheme="minorHAnsi"/>
              </w:rPr>
              <w:t>The regulations should cite to applicable law, instead of summarizing it.</w:t>
            </w:r>
          </w:p>
        </w:tc>
        <w:tc>
          <w:tcPr>
            <w:tcW w:w="4140" w:type="dxa"/>
            <w:shd w:val="clear" w:color="auto" w:fill="auto"/>
            <w:tcMar>
              <w:top w:w="100" w:type="dxa"/>
              <w:left w:w="100" w:type="dxa"/>
              <w:bottom w:w="100" w:type="dxa"/>
              <w:right w:w="100" w:type="dxa"/>
            </w:tcMar>
          </w:tcPr>
          <w:p w:rsidR="007E3F7A" w:rsidRPr="0024770D" w:rsidRDefault="0024770D" w:rsidP="00161B6A">
            <w:pPr>
              <w:pStyle w:val="Header"/>
              <w:rPr>
                <w:rFonts w:asciiTheme="minorHAnsi" w:hAnsiTheme="minorHAnsi" w:cstheme="minorHAnsi"/>
                <w:sz w:val="22"/>
                <w:szCs w:val="22"/>
              </w:rPr>
            </w:pPr>
            <w:r w:rsidRPr="0024770D">
              <w:rPr>
                <w:rFonts w:asciiTheme="minorHAnsi" w:hAnsiTheme="minorHAnsi" w:cstheme="minorHAnsi"/>
                <w:sz w:val="22"/>
                <w:szCs w:val="22"/>
              </w:rPr>
              <w:t>S</w:t>
            </w:r>
            <w:r w:rsidR="00271A80" w:rsidRPr="0024770D">
              <w:rPr>
                <w:rFonts w:asciiTheme="minorHAnsi" w:hAnsiTheme="minorHAnsi" w:cstheme="minorHAnsi"/>
                <w:sz w:val="22"/>
                <w:szCs w:val="22"/>
              </w:rPr>
              <w:t>ee comment above</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D. Annual open enrollment period standards. </w:t>
            </w:r>
            <w:r w:rsidRPr="002D6968">
              <w:rPr>
                <w:rFonts w:asciiTheme="minorHAnsi" w:hAnsiTheme="minorHAnsi" w:cstheme="minorHAnsi"/>
              </w:rPr>
              <w:t>CareFirst recommends that this section cite directly to Md. Ins. Art. § 15-1208.2 rather than summarizing it.</w:t>
            </w:r>
          </w:p>
        </w:tc>
        <w:tc>
          <w:tcPr>
            <w:tcW w:w="4140" w:type="dxa"/>
            <w:shd w:val="clear" w:color="auto" w:fill="auto"/>
            <w:tcMar>
              <w:top w:w="100" w:type="dxa"/>
              <w:left w:w="100" w:type="dxa"/>
              <w:bottom w:w="100" w:type="dxa"/>
              <w:right w:w="100" w:type="dxa"/>
            </w:tcMar>
          </w:tcPr>
          <w:p w:rsidR="007E3F7A" w:rsidRPr="0024770D" w:rsidRDefault="00893D42" w:rsidP="00161B6A">
            <w:pPr>
              <w:pStyle w:val="Header"/>
              <w:rPr>
                <w:rFonts w:asciiTheme="minorHAnsi" w:hAnsiTheme="minorHAnsi" w:cstheme="minorHAnsi"/>
                <w:sz w:val="22"/>
                <w:szCs w:val="22"/>
              </w:rPr>
            </w:pPr>
            <w:r w:rsidRPr="0024770D">
              <w:rPr>
                <w:rFonts w:asciiTheme="minorHAnsi" w:hAnsiTheme="minorHAnsi" w:cstheme="minorHAnsi"/>
                <w:sz w:val="22"/>
                <w:szCs w:val="22"/>
              </w:rPr>
              <w:t>Edit</w:t>
            </w:r>
            <w:r w:rsidR="00D03D3F" w:rsidRPr="0024770D">
              <w:rPr>
                <w:rFonts w:asciiTheme="minorHAnsi" w:hAnsiTheme="minorHAnsi" w:cstheme="minorHAnsi"/>
                <w:sz w:val="22"/>
                <w:szCs w:val="22"/>
              </w:rPr>
              <w:t xml:space="preserve"> incorporated</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E. Special Enrollment Periods. </w:t>
            </w:r>
            <w:r w:rsidRPr="002D6968">
              <w:rPr>
                <w:rFonts w:asciiTheme="minorHAnsi" w:hAnsiTheme="minorHAnsi" w:cstheme="minorHAnsi"/>
              </w:rPr>
              <w:t xml:space="preserve">The cross-references listed in this section are not applicable to the SHOP exchange. Specifically, </w:t>
            </w:r>
            <w:proofErr w:type="spellStart"/>
            <w:r w:rsidRPr="002D6968">
              <w:rPr>
                <w:rFonts w:asciiTheme="minorHAnsi" w:hAnsiTheme="minorHAnsi" w:cstheme="minorHAnsi"/>
              </w:rPr>
              <w:t>COMAR</w:t>
            </w:r>
            <w:proofErr w:type="spellEnd"/>
            <w:r w:rsidRPr="002D6968">
              <w:rPr>
                <w:rFonts w:asciiTheme="minorHAnsi" w:hAnsiTheme="minorHAnsi" w:cstheme="minorHAnsi"/>
              </w:rPr>
              <w:t xml:space="preserve"> 14.35.07.01 states that "this Chapter does not address…eligibility for enrollment in the SHOP Exchange." This section should cite to Md. Ins. Art. § 15-1208.2(d</w:t>
            </w:r>
            <w:proofErr w:type="gramStart"/>
            <w:r w:rsidRPr="002D6968">
              <w:rPr>
                <w:rFonts w:asciiTheme="minorHAnsi" w:hAnsiTheme="minorHAnsi" w:cstheme="minorHAnsi"/>
              </w:rPr>
              <w:t>)(</w:t>
            </w:r>
            <w:proofErr w:type="gramEnd"/>
            <w:r w:rsidRPr="002D6968">
              <w:rPr>
                <w:rFonts w:asciiTheme="minorHAnsi" w:hAnsiTheme="minorHAnsi" w:cstheme="minorHAnsi"/>
              </w:rPr>
              <w:t>4), instead of summarizing it.</w:t>
            </w:r>
          </w:p>
        </w:tc>
        <w:tc>
          <w:tcPr>
            <w:tcW w:w="4140" w:type="dxa"/>
            <w:shd w:val="clear" w:color="auto" w:fill="auto"/>
            <w:tcMar>
              <w:top w:w="100" w:type="dxa"/>
              <w:left w:w="100" w:type="dxa"/>
              <w:bottom w:w="100" w:type="dxa"/>
              <w:right w:w="100" w:type="dxa"/>
            </w:tcMar>
          </w:tcPr>
          <w:p w:rsidR="007E3F7A" w:rsidRPr="0024770D" w:rsidRDefault="00893D42" w:rsidP="00893D42">
            <w:pPr>
              <w:pStyle w:val="Header"/>
              <w:rPr>
                <w:rFonts w:asciiTheme="minorHAnsi" w:hAnsiTheme="minorHAnsi" w:cstheme="minorHAnsi"/>
                <w:sz w:val="22"/>
                <w:szCs w:val="22"/>
              </w:rPr>
            </w:pPr>
            <w:r w:rsidRPr="0024770D">
              <w:rPr>
                <w:rFonts w:asciiTheme="minorHAnsi" w:hAnsiTheme="minorHAnsi" w:cstheme="minorHAnsi"/>
                <w:sz w:val="22"/>
                <w:szCs w:val="22"/>
              </w:rPr>
              <w:t>Edit incorporated</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H. Payment of first month’s premium. </w:t>
            </w:r>
            <w:r w:rsidRPr="002D6968">
              <w:rPr>
                <w:rFonts w:asciiTheme="minorHAnsi" w:hAnsiTheme="minorHAnsi" w:cstheme="minorHAnsi"/>
              </w:rPr>
              <w:t xml:space="preserve">This section appears to be copied from the </w:t>
            </w:r>
            <w:proofErr w:type="spellStart"/>
            <w:r w:rsidRPr="002D6968">
              <w:rPr>
                <w:rFonts w:asciiTheme="minorHAnsi" w:hAnsiTheme="minorHAnsi" w:cstheme="minorHAnsi"/>
              </w:rPr>
              <w:t>MHBE</w:t>
            </w:r>
            <w:proofErr w:type="spellEnd"/>
            <w:r w:rsidRPr="002D6968">
              <w:rPr>
                <w:rFonts w:asciiTheme="minorHAnsi" w:hAnsiTheme="minorHAnsi" w:cstheme="minorHAnsi"/>
              </w:rPr>
              <w:t xml:space="preserve"> individual market regulations and there are references to "individual exchange" instead of SHOP (e.g. (H</w:t>
            </w:r>
            <w:proofErr w:type="gramStart"/>
            <w:r w:rsidRPr="002D6968">
              <w:rPr>
                <w:rFonts w:asciiTheme="minorHAnsi" w:hAnsiTheme="minorHAnsi" w:cstheme="minorHAnsi"/>
              </w:rPr>
              <w:t>)(</w:t>
            </w:r>
            <w:proofErr w:type="gramEnd"/>
            <w:r w:rsidRPr="002D6968">
              <w:rPr>
                <w:rFonts w:asciiTheme="minorHAnsi" w:hAnsiTheme="minorHAnsi" w:cstheme="minorHAnsi"/>
              </w:rPr>
              <w:t>5)). Additionally, the regulations should distinguish separate premiums due from the employer from premiums due from individual employees.</w:t>
            </w:r>
          </w:p>
        </w:tc>
        <w:tc>
          <w:tcPr>
            <w:tcW w:w="4140" w:type="dxa"/>
            <w:shd w:val="clear" w:color="auto" w:fill="auto"/>
            <w:tcMar>
              <w:top w:w="100" w:type="dxa"/>
              <w:left w:w="100" w:type="dxa"/>
              <w:bottom w:w="100" w:type="dxa"/>
              <w:right w:w="100" w:type="dxa"/>
            </w:tcMar>
          </w:tcPr>
          <w:p w:rsidR="007E3F7A" w:rsidRPr="0024770D" w:rsidRDefault="00271A80" w:rsidP="00271A80">
            <w:pPr>
              <w:pStyle w:val="Header"/>
              <w:rPr>
                <w:rFonts w:asciiTheme="minorHAnsi" w:hAnsiTheme="minorHAnsi" w:cstheme="minorHAnsi"/>
                <w:sz w:val="22"/>
                <w:szCs w:val="22"/>
              </w:rPr>
            </w:pPr>
            <w:r w:rsidRPr="0024770D">
              <w:rPr>
                <w:rFonts w:asciiTheme="minorHAnsi" w:hAnsiTheme="minorHAnsi" w:cstheme="minorHAnsi"/>
                <w:sz w:val="22"/>
                <w:szCs w:val="22"/>
              </w:rPr>
              <w:t>Corrected language</w:t>
            </w:r>
            <w:r w:rsidR="00FA4486" w:rsidRPr="0024770D">
              <w:rPr>
                <w:rFonts w:asciiTheme="minorHAnsi" w:hAnsiTheme="minorHAnsi" w:cstheme="minorHAnsi"/>
                <w:sz w:val="22"/>
                <w:szCs w:val="22"/>
              </w:rPr>
              <w:t xml:space="preserve"> “individual exchange</w:t>
            </w:r>
            <w:r w:rsidRPr="0024770D">
              <w:rPr>
                <w:rFonts w:asciiTheme="minorHAnsi" w:hAnsiTheme="minorHAnsi" w:cstheme="minorHAnsi"/>
                <w:sz w:val="22"/>
                <w:szCs w:val="22"/>
              </w:rPr>
              <w:t>”; added clarifying language</w:t>
            </w:r>
          </w:p>
        </w:tc>
      </w:tr>
      <w:tr w:rsidR="007E3F7A" w:rsidRPr="002D6968" w:rsidTr="007E3F7A">
        <w:trPr>
          <w:trHeight w:val="582"/>
        </w:trPr>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 xml:space="preserve">J. Renewal. </w:t>
            </w:r>
            <w:r w:rsidRPr="002D6968">
              <w:rPr>
                <w:rFonts w:asciiTheme="minorHAnsi" w:hAnsiTheme="minorHAnsi" w:cstheme="minorHAnsi"/>
              </w:rPr>
              <w:t>The regulations are inconsistent with Md. Ins. Art. § 15-1212. CareFirst recommends that this section cite to the statute, instead of summarizing it.</w:t>
            </w:r>
          </w:p>
        </w:tc>
        <w:tc>
          <w:tcPr>
            <w:tcW w:w="4140" w:type="dxa"/>
            <w:shd w:val="clear" w:color="auto" w:fill="auto"/>
            <w:tcMar>
              <w:top w:w="100" w:type="dxa"/>
              <w:left w:w="100" w:type="dxa"/>
              <w:bottom w:w="100" w:type="dxa"/>
              <w:right w:w="100" w:type="dxa"/>
            </w:tcMar>
          </w:tcPr>
          <w:p w:rsidR="007E3F7A" w:rsidRPr="0024770D" w:rsidRDefault="00FA4486" w:rsidP="00161B6A">
            <w:pPr>
              <w:pStyle w:val="Header"/>
              <w:rPr>
                <w:rFonts w:asciiTheme="minorHAnsi" w:hAnsiTheme="minorHAnsi" w:cstheme="minorHAnsi"/>
                <w:sz w:val="22"/>
                <w:szCs w:val="22"/>
              </w:rPr>
            </w:pPr>
            <w:r w:rsidRPr="0024770D">
              <w:rPr>
                <w:rFonts w:asciiTheme="minorHAnsi" w:hAnsiTheme="minorHAnsi" w:cstheme="minorHAnsi"/>
                <w:sz w:val="22"/>
                <w:szCs w:val="22"/>
              </w:rPr>
              <w:t>Updated to add in the appropriate citation</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lastRenderedPageBreak/>
              <w:t>CareFirst</w:t>
            </w:r>
          </w:p>
        </w:tc>
        <w:tc>
          <w:tcPr>
            <w:tcW w:w="8545" w:type="dxa"/>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New Hire Rule</w:t>
            </w:r>
            <w:r w:rsidRPr="002D6968">
              <w:rPr>
                <w:rFonts w:asciiTheme="minorHAnsi" w:hAnsiTheme="minorHAnsi" w:cstheme="minorHAnsi"/>
                <w:sz w:val="22"/>
                <w:szCs w:val="22"/>
              </w:rPr>
              <w:t xml:space="preserve">—The regulations should include language providing the effective coverage date rules for newly eligible employees. </w:t>
            </w:r>
          </w:p>
          <w:p w:rsidR="007E3F7A" w:rsidRPr="002D6968" w:rsidRDefault="007E3F7A" w:rsidP="00FA4486">
            <w:pPr>
              <w:widowControl w:val="0"/>
              <w:pBdr>
                <w:top w:val="nil"/>
                <w:left w:val="nil"/>
                <w:bottom w:val="nil"/>
                <w:right w:val="nil"/>
                <w:between w:val="nil"/>
              </w:pBdr>
              <w:spacing w:line="240" w:lineRule="auto"/>
              <w:rPr>
                <w:rFonts w:asciiTheme="minorHAnsi" w:hAnsiTheme="minorHAnsi" w:cstheme="minorHAnsi"/>
                <w:b/>
                <w:bCs/>
              </w:rPr>
            </w:pPr>
            <w:proofErr w:type="gramStart"/>
            <w:r w:rsidRPr="002D6968">
              <w:rPr>
                <w:rFonts w:asciiTheme="minorHAnsi" w:hAnsiTheme="minorHAnsi" w:cstheme="minorHAnsi"/>
              </w:rPr>
              <w:t xml:space="preserve">CareFirst recommends using the language in the 2018 Notice of Benefit Payment Parameters, which states: The effective date of coverage for a </w:t>
            </w:r>
            <w:proofErr w:type="spellStart"/>
            <w:r w:rsidRPr="002D6968">
              <w:rPr>
                <w:rFonts w:asciiTheme="minorHAnsi" w:hAnsiTheme="minorHAnsi" w:cstheme="minorHAnsi"/>
              </w:rPr>
              <w:t>QHP</w:t>
            </w:r>
            <w:proofErr w:type="spellEnd"/>
            <w:r w:rsidRPr="002D6968">
              <w:rPr>
                <w:rFonts w:asciiTheme="minorHAnsi" w:hAnsiTheme="minorHAnsi" w:cstheme="minorHAnsi"/>
              </w:rPr>
              <w:t xml:space="preserve"> selection received by the SHOP from a newly qualified employee is the first day of the month following plan selection unless the employee is subject to a waiting period, in which cas</w:t>
            </w:r>
            <w:r w:rsidR="00FA4486">
              <w:rPr>
                <w:rFonts w:asciiTheme="minorHAnsi" w:hAnsiTheme="minorHAnsi" w:cstheme="minorHAnsi"/>
              </w:rPr>
              <w:t>e the effective date will be on</w:t>
            </w:r>
            <w:r w:rsidR="00FA4486" w:rsidRPr="002D6968">
              <w:rPr>
                <w:rFonts w:asciiTheme="minorHAnsi" w:hAnsiTheme="minorHAnsi" w:cstheme="minorHAnsi"/>
              </w:rPr>
              <w:t xml:space="preserve"> </w:t>
            </w:r>
            <w:r w:rsidRPr="002D6968">
              <w:rPr>
                <w:rFonts w:asciiTheme="minorHAnsi" w:hAnsiTheme="minorHAnsi" w:cstheme="minorHAnsi"/>
              </w:rPr>
              <w:t>the first day of a later month following the end of the waiting period.</w:t>
            </w:r>
            <w:proofErr w:type="gramEnd"/>
            <w:r w:rsidRPr="002D6968">
              <w:rPr>
                <w:rFonts w:asciiTheme="minorHAnsi" w:hAnsiTheme="minorHAnsi" w:cstheme="minorHAnsi"/>
              </w:rPr>
              <w:t xml:space="preserve"> If the newly qualified employee makes a plan selection on the first day of the month and any applicable waiting period has ended by that date, coverage must be effective on that date.1</w:t>
            </w:r>
          </w:p>
        </w:tc>
        <w:tc>
          <w:tcPr>
            <w:tcW w:w="4140" w:type="dxa"/>
            <w:shd w:val="clear" w:color="auto" w:fill="auto"/>
            <w:tcMar>
              <w:top w:w="100" w:type="dxa"/>
              <w:left w:w="100" w:type="dxa"/>
              <w:bottom w:w="100" w:type="dxa"/>
              <w:right w:w="100" w:type="dxa"/>
            </w:tcMar>
          </w:tcPr>
          <w:p w:rsidR="007E3F7A" w:rsidRPr="0024770D" w:rsidRDefault="00755641" w:rsidP="00161B6A">
            <w:pPr>
              <w:pStyle w:val="Header"/>
              <w:rPr>
                <w:rFonts w:asciiTheme="minorHAnsi" w:hAnsiTheme="minorHAnsi" w:cstheme="minorHAnsi"/>
                <w:sz w:val="22"/>
                <w:szCs w:val="22"/>
              </w:rPr>
            </w:pPr>
            <w:r w:rsidRPr="0024770D">
              <w:rPr>
                <w:rFonts w:asciiTheme="minorHAnsi" w:hAnsiTheme="minorHAnsi" w:cstheme="minorHAnsi"/>
                <w:sz w:val="22"/>
                <w:szCs w:val="22"/>
              </w:rPr>
              <w:t>Edit incorporated</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7E3F7A" w:rsidP="00DD0D8B">
            <w:pPr>
              <w:widowControl w:val="0"/>
              <w:pBdr>
                <w:top w:val="nil"/>
                <w:left w:val="nil"/>
                <w:bottom w:val="nil"/>
                <w:right w:val="nil"/>
                <w:between w:val="nil"/>
              </w:pBdr>
              <w:spacing w:line="240" w:lineRule="auto"/>
              <w:rPr>
                <w:rFonts w:asciiTheme="minorHAnsi" w:hAnsiTheme="minorHAnsi" w:cstheme="minorHAnsi"/>
              </w:rPr>
            </w:pP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
                <w:bCs/>
              </w:rPr>
            </w:pPr>
            <w:r w:rsidRPr="002D6968">
              <w:rPr>
                <w:rFonts w:asciiTheme="minorHAnsi" w:hAnsiTheme="minorHAnsi" w:cstheme="minorHAnsi"/>
                <w:b/>
                <w:bCs/>
              </w:rPr>
              <w:t>Termination:</w:t>
            </w:r>
          </w:p>
        </w:tc>
        <w:tc>
          <w:tcPr>
            <w:tcW w:w="4140" w:type="dxa"/>
            <w:shd w:val="clear" w:color="auto" w:fill="auto"/>
            <w:tcMar>
              <w:top w:w="100" w:type="dxa"/>
              <w:left w:w="100" w:type="dxa"/>
              <w:bottom w:w="100" w:type="dxa"/>
              <w:right w:w="100" w:type="dxa"/>
            </w:tcMar>
          </w:tcPr>
          <w:p w:rsidR="007E3F7A" w:rsidRPr="0024770D" w:rsidRDefault="007E3F7A" w:rsidP="00161B6A">
            <w:pPr>
              <w:pStyle w:val="Header"/>
              <w:rPr>
                <w:rFonts w:asciiTheme="minorHAnsi" w:hAnsiTheme="minorHAnsi" w:cstheme="minorHAnsi"/>
                <w:sz w:val="22"/>
                <w:szCs w:val="22"/>
              </w:rPr>
            </w:pP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 xml:space="preserve">Termination. </w:t>
            </w:r>
            <w:r w:rsidRPr="002D6968">
              <w:rPr>
                <w:rFonts w:asciiTheme="minorHAnsi" w:hAnsiTheme="minorHAnsi" w:cstheme="minorHAnsi"/>
                <w:sz w:val="22"/>
                <w:szCs w:val="22"/>
              </w:rPr>
              <w:t xml:space="preserve">CareFirst recommends that subsection (7) cite to specific sections of law that require carriers to make these accommodations. </w:t>
            </w:r>
          </w:p>
        </w:tc>
        <w:tc>
          <w:tcPr>
            <w:tcW w:w="4140" w:type="dxa"/>
            <w:shd w:val="clear" w:color="auto" w:fill="auto"/>
            <w:tcMar>
              <w:top w:w="100" w:type="dxa"/>
              <w:left w:w="100" w:type="dxa"/>
              <w:bottom w:w="100" w:type="dxa"/>
              <w:right w:w="100" w:type="dxa"/>
            </w:tcMar>
          </w:tcPr>
          <w:p w:rsidR="007E3F7A" w:rsidRPr="0024770D" w:rsidRDefault="00513EFC" w:rsidP="00161B6A">
            <w:pPr>
              <w:pStyle w:val="Header"/>
              <w:rPr>
                <w:rFonts w:asciiTheme="minorHAnsi" w:hAnsiTheme="minorHAnsi" w:cstheme="minorHAnsi"/>
                <w:sz w:val="22"/>
                <w:szCs w:val="22"/>
              </w:rPr>
            </w:pPr>
            <w:r w:rsidRPr="0024770D">
              <w:rPr>
                <w:rFonts w:asciiTheme="minorHAnsi" w:hAnsiTheme="minorHAnsi" w:cstheme="minorHAnsi"/>
                <w:sz w:val="22"/>
                <w:szCs w:val="22"/>
              </w:rPr>
              <w:t xml:space="preserve">This same provision is present in </w:t>
            </w:r>
            <w:proofErr w:type="spellStart"/>
            <w:r w:rsidRPr="0024770D">
              <w:rPr>
                <w:rFonts w:asciiTheme="minorHAnsi" w:hAnsiTheme="minorHAnsi" w:cstheme="minorHAnsi"/>
                <w:sz w:val="22"/>
                <w:szCs w:val="22"/>
              </w:rPr>
              <w:t>COMAR</w:t>
            </w:r>
            <w:proofErr w:type="spellEnd"/>
            <w:r w:rsidRPr="0024770D">
              <w:rPr>
                <w:rFonts w:asciiTheme="minorHAnsi" w:hAnsiTheme="minorHAnsi" w:cstheme="minorHAnsi"/>
                <w:sz w:val="22"/>
                <w:szCs w:val="22"/>
              </w:rPr>
              <w:t xml:space="preserve"> </w:t>
            </w:r>
            <w:r w:rsidRPr="0024770D">
              <w:rPr>
                <w:rFonts w:asciiTheme="minorHAnsi" w:hAnsiTheme="minorHAnsi" w:cstheme="minorHAnsi"/>
                <w:iCs/>
                <w:sz w:val="22"/>
                <w:szCs w:val="22"/>
              </w:rPr>
              <w:t>14.35.14.03(F)</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Employer-initiated terminations</w:t>
            </w:r>
            <w:r w:rsidRPr="002D6968">
              <w:rPr>
                <w:rFonts w:asciiTheme="minorHAnsi" w:hAnsiTheme="minorHAnsi" w:cstheme="minorHAnsi"/>
                <w:sz w:val="22"/>
                <w:szCs w:val="22"/>
              </w:rPr>
              <w:t xml:space="preserve">. CareFirst suggests adding timing for the notice of termination here. Specifically, CareFirst recommends that employers should give 30 </w:t>
            </w:r>
            <w:proofErr w:type="spellStart"/>
            <w:r w:rsidRPr="002D6968">
              <w:rPr>
                <w:rFonts w:asciiTheme="minorHAnsi" w:hAnsiTheme="minorHAnsi" w:cstheme="minorHAnsi"/>
                <w:sz w:val="22"/>
                <w:szCs w:val="22"/>
              </w:rPr>
              <w:t>days</w:t>
            </w:r>
            <w:proofErr w:type="spellEnd"/>
            <w:r w:rsidRPr="002D6968">
              <w:rPr>
                <w:rFonts w:asciiTheme="minorHAnsi" w:hAnsiTheme="minorHAnsi" w:cstheme="minorHAnsi"/>
                <w:sz w:val="22"/>
                <w:szCs w:val="22"/>
              </w:rPr>
              <w:t xml:space="preserve"> advanced notice to terminate coverage, consistent with the current process. </w:t>
            </w:r>
          </w:p>
        </w:tc>
        <w:tc>
          <w:tcPr>
            <w:tcW w:w="4140" w:type="dxa"/>
            <w:shd w:val="clear" w:color="auto" w:fill="auto"/>
            <w:tcMar>
              <w:top w:w="100" w:type="dxa"/>
              <w:left w:w="100" w:type="dxa"/>
              <w:bottom w:w="100" w:type="dxa"/>
              <w:right w:w="100" w:type="dxa"/>
            </w:tcMar>
          </w:tcPr>
          <w:p w:rsidR="007E3F7A" w:rsidRPr="0024770D" w:rsidRDefault="0024770D" w:rsidP="00161B6A">
            <w:pPr>
              <w:pStyle w:val="Header"/>
              <w:rPr>
                <w:rFonts w:asciiTheme="minorHAnsi" w:hAnsiTheme="minorHAnsi" w:cstheme="minorHAnsi"/>
                <w:sz w:val="22"/>
                <w:szCs w:val="22"/>
              </w:rPr>
            </w:pPr>
            <w:r w:rsidRPr="0024770D">
              <w:rPr>
                <w:rFonts w:asciiTheme="minorHAnsi" w:hAnsiTheme="minorHAnsi" w:cstheme="minorHAnsi"/>
                <w:sz w:val="22"/>
                <w:szCs w:val="22"/>
              </w:rPr>
              <w:t>Edit incorporated</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7E3F7A">
            <w:pPr>
              <w:autoSpaceDE w:val="0"/>
              <w:autoSpaceDN w:val="0"/>
              <w:adjustRightInd w:val="0"/>
              <w:spacing w:line="240" w:lineRule="auto"/>
              <w:rPr>
                <w:rFonts w:asciiTheme="minorHAnsi" w:eastAsiaTheme="minorHAnsi" w:hAnsiTheme="minorHAnsi" w:cstheme="minorHAnsi"/>
                <w:color w:val="000000"/>
                <w:lang w:val="en-US"/>
              </w:rPr>
            </w:pPr>
            <w:r w:rsidRPr="007E3F7A">
              <w:rPr>
                <w:rFonts w:asciiTheme="minorHAnsi" w:eastAsiaTheme="minorHAnsi" w:hAnsiTheme="minorHAnsi" w:cstheme="minorHAnsi"/>
                <w:color w:val="000000"/>
                <w:lang w:val="en-US"/>
              </w:rPr>
              <w:t xml:space="preserve">Employee-initiated terminations. </w:t>
            </w:r>
          </w:p>
          <w:p w:rsidR="007E3F7A" w:rsidRPr="007E3F7A" w:rsidRDefault="007E3F7A" w:rsidP="007E3F7A">
            <w:pPr>
              <w:autoSpaceDE w:val="0"/>
              <w:autoSpaceDN w:val="0"/>
              <w:adjustRightInd w:val="0"/>
              <w:spacing w:line="240" w:lineRule="auto"/>
              <w:rPr>
                <w:rFonts w:asciiTheme="minorHAnsi" w:eastAsiaTheme="minorHAnsi" w:hAnsiTheme="minorHAnsi" w:cstheme="minorHAnsi"/>
                <w:color w:val="000000"/>
                <w:lang w:val="en-US"/>
              </w:rPr>
            </w:pPr>
            <w:r w:rsidRPr="007E3F7A">
              <w:rPr>
                <w:rFonts w:asciiTheme="minorHAnsi" w:eastAsiaTheme="minorHAnsi" w:hAnsiTheme="minorHAnsi" w:cstheme="minorHAnsi"/>
                <w:color w:val="000000"/>
                <w:lang w:val="en-US"/>
              </w:rPr>
              <w:t xml:space="preserve">• CareFirst recommends that </w:t>
            </w:r>
            <w:proofErr w:type="spellStart"/>
            <w:r w:rsidRPr="007E3F7A">
              <w:rPr>
                <w:rFonts w:asciiTheme="minorHAnsi" w:eastAsiaTheme="minorHAnsi" w:hAnsiTheme="minorHAnsi" w:cstheme="minorHAnsi"/>
                <w:color w:val="000000"/>
                <w:lang w:val="en-US"/>
              </w:rPr>
              <w:t>MHBE</w:t>
            </w:r>
            <w:proofErr w:type="spellEnd"/>
            <w:r w:rsidRPr="007E3F7A">
              <w:rPr>
                <w:rFonts w:asciiTheme="minorHAnsi" w:eastAsiaTheme="minorHAnsi" w:hAnsiTheme="minorHAnsi" w:cstheme="minorHAnsi"/>
                <w:color w:val="000000"/>
                <w:lang w:val="en-US"/>
              </w:rPr>
              <w:t xml:space="preserve"> include the exact sections outlined in section 125 of the IRS Code in this regulation, and state that an employee must comply with state regulations for valid terminations, which align with the definition for qualifying events that are outside of the annual enrollment period. Aside from these scenarios, voluntary terminations </w:t>
            </w:r>
            <w:proofErr w:type="gramStart"/>
            <w:r w:rsidRPr="007E3F7A">
              <w:rPr>
                <w:rFonts w:asciiTheme="minorHAnsi" w:eastAsiaTheme="minorHAnsi" w:hAnsiTheme="minorHAnsi" w:cstheme="minorHAnsi"/>
                <w:color w:val="000000"/>
                <w:lang w:val="en-US"/>
              </w:rPr>
              <w:t>should not be allowed</w:t>
            </w:r>
            <w:proofErr w:type="gramEnd"/>
            <w:r w:rsidRPr="007E3F7A">
              <w:rPr>
                <w:rFonts w:asciiTheme="minorHAnsi" w:eastAsiaTheme="minorHAnsi" w:hAnsiTheme="minorHAnsi" w:cstheme="minorHAnsi"/>
                <w:color w:val="000000"/>
                <w:lang w:val="en-US"/>
              </w:rPr>
              <w:t xml:space="preserve"> outside of the Open Enrollment period. </w:t>
            </w:r>
          </w:p>
          <w:p w:rsidR="007E3F7A" w:rsidRPr="002D6968" w:rsidRDefault="007E3F7A" w:rsidP="007E3F7A">
            <w:pPr>
              <w:autoSpaceDE w:val="0"/>
              <w:autoSpaceDN w:val="0"/>
              <w:adjustRightInd w:val="0"/>
              <w:spacing w:line="240" w:lineRule="auto"/>
              <w:rPr>
                <w:rFonts w:asciiTheme="minorHAnsi" w:eastAsiaTheme="minorHAnsi" w:hAnsiTheme="minorHAnsi" w:cstheme="minorHAnsi"/>
                <w:color w:val="000000"/>
                <w:lang w:val="en-US"/>
              </w:rPr>
            </w:pPr>
            <w:r w:rsidRPr="007E3F7A">
              <w:rPr>
                <w:rFonts w:asciiTheme="minorHAnsi" w:eastAsiaTheme="minorHAnsi" w:hAnsiTheme="minorHAnsi" w:cstheme="minorHAnsi"/>
                <w:color w:val="000000"/>
                <w:lang w:val="en-US"/>
              </w:rPr>
              <w:t xml:space="preserve">• CareFirst recommends clarifying the </w:t>
            </w:r>
            <w:proofErr w:type="gramStart"/>
            <w:r w:rsidRPr="007E3F7A">
              <w:rPr>
                <w:rFonts w:asciiTheme="minorHAnsi" w:eastAsiaTheme="minorHAnsi" w:hAnsiTheme="minorHAnsi" w:cstheme="minorHAnsi"/>
                <w:color w:val="000000"/>
                <w:lang w:val="en-US"/>
              </w:rPr>
              <w:t>time period</w:t>
            </w:r>
            <w:proofErr w:type="gramEnd"/>
            <w:r w:rsidRPr="007E3F7A">
              <w:rPr>
                <w:rFonts w:asciiTheme="minorHAnsi" w:eastAsiaTheme="minorHAnsi" w:hAnsiTheme="minorHAnsi" w:cstheme="minorHAnsi"/>
                <w:color w:val="000000"/>
                <w:lang w:val="en-US"/>
              </w:rPr>
              <w:t xml:space="preserve"> for notice of employee-initiated termination. Specifically, employees should be able to give notice of termination up until the last day of the month in which the termination occurs. </w:t>
            </w:r>
          </w:p>
        </w:tc>
        <w:tc>
          <w:tcPr>
            <w:tcW w:w="4140" w:type="dxa"/>
            <w:shd w:val="clear" w:color="auto" w:fill="auto"/>
            <w:tcMar>
              <w:top w:w="100" w:type="dxa"/>
              <w:left w:w="100" w:type="dxa"/>
              <w:bottom w:w="100" w:type="dxa"/>
              <w:right w:w="100" w:type="dxa"/>
            </w:tcMar>
          </w:tcPr>
          <w:p w:rsidR="007E3F7A" w:rsidRPr="0024770D" w:rsidRDefault="00D174A3" w:rsidP="00513EFC">
            <w:pPr>
              <w:pStyle w:val="Header"/>
              <w:numPr>
                <w:ilvl w:val="0"/>
                <w:numId w:val="2"/>
              </w:numPr>
              <w:rPr>
                <w:rFonts w:asciiTheme="minorHAnsi" w:hAnsiTheme="minorHAnsi" w:cstheme="minorHAnsi"/>
                <w:sz w:val="22"/>
                <w:szCs w:val="22"/>
              </w:rPr>
            </w:pPr>
            <w:r w:rsidRPr="0024770D">
              <w:rPr>
                <w:rFonts w:asciiTheme="minorHAnsi" w:hAnsiTheme="minorHAnsi" w:cstheme="minorHAnsi"/>
                <w:sz w:val="22"/>
                <w:szCs w:val="22"/>
              </w:rPr>
              <w:t>This language is the same as was used for the individual exchange</w:t>
            </w:r>
          </w:p>
          <w:p w:rsidR="00513EFC" w:rsidRPr="0024770D" w:rsidRDefault="00513EFC" w:rsidP="00513EFC">
            <w:pPr>
              <w:pStyle w:val="Header"/>
              <w:numPr>
                <w:ilvl w:val="0"/>
                <w:numId w:val="2"/>
              </w:numPr>
              <w:rPr>
                <w:rFonts w:asciiTheme="minorHAnsi" w:hAnsiTheme="minorHAnsi" w:cstheme="minorHAnsi"/>
                <w:sz w:val="22"/>
                <w:szCs w:val="22"/>
              </w:rPr>
            </w:pPr>
            <w:r w:rsidRPr="0024770D">
              <w:rPr>
                <w:rFonts w:asciiTheme="minorHAnsi" w:hAnsiTheme="minorHAnsi" w:cstheme="minorHAnsi"/>
                <w:sz w:val="22"/>
                <w:szCs w:val="22"/>
              </w:rPr>
              <w:t>Clarifying language has been added</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FA4486" w:rsidP="00DD0D8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 xml:space="preserve">Termination by the SHOP Exchange. </w:t>
            </w:r>
            <w:r w:rsidRPr="002D6968">
              <w:rPr>
                <w:rFonts w:asciiTheme="minorHAnsi" w:hAnsiTheme="minorHAnsi" w:cstheme="minorHAnsi"/>
                <w:sz w:val="22"/>
                <w:szCs w:val="22"/>
              </w:rPr>
              <w:t xml:space="preserve">CareFirst recommends that this section </w:t>
            </w:r>
            <w:proofErr w:type="gramStart"/>
            <w:r w:rsidRPr="002D6968">
              <w:rPr>
                <w:rFonts w:asciiTheme="minorHAnsi" w:hAnsiTheme="minorHAnsi" w:cstheme="minorHAnsi"/>
                <w:sz w:val="22"/>
                <w:szCs w:val="22"/>
              </w:rPr>
              <w:t>be deleted and replaced with a cross-reference to the MIA’s Regulation dealing with grace periods</w:t>
            </w:r>
            <w:proofErr w:type="gramEnd"/>
            <w:r w:rsidRPr="002D6968">
              <w:rPr>
                <w:rFonts w:asciiTheme="minorHAnsi" w:hAnsiTheme="minorHAnsi" w:cstheme="minorHAnsi"/>
                <w:sz w:val="22"/>
                <w:szCs w:val="22"/>
              </w:rPr>
              <w:t xml:space="preserve">. </w:t>
            </w:r>
          </w:p>
        </w:tc>
        <w:tc>
          <w:tcPr>
            <w:tcW w:w="4140" w:type="dxa"/>
            <w:shd w:val="clear" w:color="auto" w:fill="auto"/>
            <w:tcMar>
              <w:top w:w="100" w:type="dxa"/>
              <w:left w:w="100" w:type="dxa"/>
              <w:bottom w:w="100" w:type="dxa"/>
              <w:right w:w="100" w:type="dxa"/>
            </w:tcMar>
          </w:tcPr>
          <w:p w:rsidR="007E3F7A" w:rsidRPr="0024770D" w:rsidRDefault="007E3F7A" w:rsidP="00161B6A">
            <w:pPr>
              <w:pStyle w:val="Header"/>
              <w:rPr>
                <w:rFonts w:asciiTheme="minorHAnsi" w:hAnsiTheme="minorHAnsi" w:cstheme="minorHAnsi"/>
                <w:sz w:val="22"/>
                <w:szCs w:val="22"/>
              </w:rPr>
            </w:pPr>
            <w:r w:rsidRPr="0024770D">
              <w:rPr>
                <w:rFonts w:asciiTheme="minorHAnsi" w:hAnsiTheme="minorHAnsi" w:cstheme="minorHAnsi"/>
                <w:sz w:val="22"/>
                <w:szCs w:val="22"/>
              </w:rPr>
              <w:t>Language has been updated with the recommendations of the MIA re: grace periods</w:t>
            </w:r>
          </w:p>
        </w:tc>
      </w:tr>
      <w:tr w:rsidR="007E3F7A" w:rsidRPr="002D6968" w:rsidTr="007E3F7A">
        <w:tc>
          <w:tcPr>
            <w:tcW w:w="2345" w:type="dxa"/>
            <w:shd w:val="clear" w:color="auto" w:fill="auto"/>
            <w:tcMar>
              <w:top w:w="100" w:type="dxa"/>
              <w:left w:w="100" w:type="dxa"/>
              <w:bottom w:w="100" w:type="dxa"/>
              <w:right w:w="100" w:type="dxa"/>
            </w:tcMar>
          </w:tcPr>
          <w:p w:rsidR="007E3F7A" w:rsidRPr="002D6968" w:rsidRDefault="007E3F7A" w:rsidP="00DD0D8B">
            <w:pPr>
              <w:widowControl w:val="0"/>
              <w:pBdr>
                <w:top w:val="nil"/>
                <w:left w:val="nil"/>
                <w:bottom w:val="nil"/>
                <w:right w:val="nil"/>
                <w:between w:val="nil"/>
              </w:pBdr>
              <w:spacing w:line="240" w:lineRule="auto"/>
              <w:rPr>
                <w:rFonts w:asciiTheme="minorHAnsi" w:hAnsiTheme="minorHAnsi" w:cstheme="minorHAnsi"/>
              </w:rPr>
            </w:pPr>
          </w:p>
        </w:tc>
        <w:tc>
          <w:tcPr>
            <w:tcW w:w="8545" w:type="dxa"/>
            <w:shd w:val="clear" w:color="auto" w:fill="auto"/>
            <w:tcMar>
              <w:top w:w="100" w:type="dxa"/>
              <w:left w:w="100" w:type="dxa"/>
              <w:bottom w:w="100" w:type="dxa"/>
              <w:right w:w="100" w:type="dxa"/>
            </w:tcMar>
          </w:tcPr>
          <w:p w:rsidR="007E3F7A" w:rsidRPr="002D6968" w:rsidRDefault="007E3F7A" w:rsidP="00E87C02">
            <w:pPr>
              <w:widowControl w:val="0"/>
              <w:pBdr>
                <w:top w:val="nil"/>
                <w:left w:val="nil"/>
                <w:bottom w:val="nil"/>
                <w:right w:val="nil"/>
                <w:between w:val="nil"/>
              </w:pBdr>
              <w:spacing w:line="240" w:lineRule="auto"/>
              <w:rPr>
                <w:rFonts w:asciiTheme="minorHAnsi" w:hAnsiTheme="minorHAnsi" w:cstheme="minorHAnsi"/>
                <w:bCs/>
              </w:rPr>
            </w:pPr>
            <w:r w:rsidRPr="002D6968">
              <w:rPr>
                <w:rFonts w:asciiTheme="minorHAnsi" w:hAnsiTheme="minorHAnsi" w:cstheme="minorHAnsi"/>
                <w:bCs/>
              </w:rPr>
              <w:t>Coverage Models:</w:t>
            </w:r>
          </w:p>
        </w:tc>
        <w:tc>
          <w:tcPr>
            <w:tcW w:w="4140" w:type="dxa"/>
            <w:shd w:val="clear" w:color="auto" w:fill="auto"/>
            <w:tcMar>
              <w:top w:w="100" w:type="dxa"/>
              <w:left w:w="100" w:type="dxa"/>
              <w:bottom w:w="100" w:type="dxa"/>
              <w:right w:w="100" w:type="dxa"/>
            </w:tcMar>
          </w:tcPr>
          <w:p w:rsidR="007E3F7A" w:rsidRPr="0024770D" w:rsidRDefault="007E3F7A" w:rsidP="00161B6A">
            <w:pPr>
              <w:pStyle w:val="Header"/>
              <w:rPr>
                <w:rFonts w:asciiTheme="minorHAnsi" w:hAnsiTheme="minorHAnsi" w:cstheme="minorHAnsi"/>
                <w:sz w:val="22"/>
                <w:szCs w:val="22"/>
              </w:rPr>
            </w:pPr>
          </w:p>
        </w:tc>
      </w:tr>
      <w:tr w:rsidR="007E3F7A" w:rsidRPr="002D6968" w:rsidTr="007E3F7A">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FA4486" w:rsidP="0042059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lastRenderedPageBreak/>
              <w:t>CareFirst</w:t>
            </w: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 xml:space="preserve">B. Employee Choice model requirements. </w:t>
            </w:r>
            <w:r w:rsidRPr="002D6968">
              <w:rPr>
                <w:rFonts w:asciiTheme="minorHAnsi" w:hAnsiTheme="minorHAnsi" w:cstheme="minorHAnsi"/>
                <w:sz w:val="22"/>
                <w:szCs w:val="22"/>
              </w:rPr>
              <w:t xml:space="preserve">We find the language in the draft to be unclear, and recommend instead using the language from the </w:t>
            </w:r>
            <w:proofErr w:type="spellStart"/>
            <w:r w:rsidRPr="002D6968">
              <w:rPr>
                <w:rFonts w:asciiTheme="minorHAnsi" w:hAnsiTheme="minorHAnsi" w:cstheme="minorHAnsi"/>
                <w:sz w:val="22"/>
                <w:szCs w:val="22"/>
              </w:rPr>
              <w:t>MHBE</w:t>
            </w:r>
            <w:proofErr w:type="spellEnd"/>
            <w:r w:rsidRPr="002D6968">
              <w:rPr>
                <w:rFonts w:asciiTheme="minorHAnsi" w:hAnsiTheme="minorHAnsi" w:cstheme="minorHAnsi"/>
                <w:sz w:val="22"/>
                <w:szCs w:val="22"/>
              </w:rPr>
              <w:t xml:space="preserve"> website (updated to include 2 consecutive metal levels): </w:t>
            </w:r>
          </w:p>
          <w:p w:rsidR="007E3F7A" w:rsidRPr="002D6968" w:rsidRDefault="007E3F7A" w:rsidP="007E3F7A">
            <w:pPr>
              <w:widowControl w:val="0"/>
              <w:pBdr>
                <w:top w:val="nil"/>
                <w:left w:val="nil"/>
                <w:bottom w:val="nil"/>
                <w:right w:val="nil"/>
                <w:between w:val="nil"/>
              </w:pBdr>
              <w:spacing w:line="240" w:lineRule="auto"/>
              <w:rPr>
                <w:rFonts w:asciiTheme="minorHAnsi" w:hAnsiTheme="minorHAnsi" w:cstheme="minorHAnsi"/>
                <w:bCs/>
              </w:rPr>
            </w:pPr>
            <w:r w:rsidRPr="002D6968">
              <w:rPr>
                <w:rFonts w:asciiTheme="minorHAnsi" w:hAnsiTheme="minorHAnsi" w:cstheme="minorHAnsi"/>
              </w:rPr>
              <w:t>"Employee Choice: A qualified employer may select two consecutive metal levels of coverage, and employees may choose any SHOP plan across all the insurance companies that offer plans at those metal levels."</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4770D" w:rsidRDefault="00062DC2" w:rsidP="0042059B">
            <w:pPr>
              <w:pStyle w:val="Header"/>
              <w:rPr>
                <w:rFonts w:asciiTheme="minorHAnsi" w:hAnsiTheme="minorHAnsi" w:cstheme="minorHAnsi"/>
                <w:sz w:val="22"/>
                <w:szCs w:val="22"/>
              </w:rPr>
            </w:pPr>
            <w:r w:rsidRPr="0024770D">
              <w:rPr>
                <w:rFonts w:asciiTheme="minorHAnsi" w:hAnsiTheme="minorHAnsi" w:cstheme="minorHAnsi"/>
                <w:sz w:val="22"/>
                <w:szCs w:val="22"/>
              </w:rPr>
              <w:t>Edit incorporated</w:t>
            </w:r>
          </w:p>
        </w:tc>
      </w:tr>
      <w:tr w:rsidR="007E3F7A" w:rsidRPr="002D6968" w:rsidTr="007E3F7A">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42059B">
            <w:pPr>
              <w:widowControl w:val="0"/>
              <w:pBdr>
                <w:top w:val="nil"/>
                <w:left w:val="nil"/>
                <w:bottom w:val="nil"/>
                <w:right w:val="nil"/>
                <w:between w:val="nil"/>
              </w:pBdr>
              <w:spacing w:line="240" w:lineRule="auto"/>
              <w:rPr>
                <w:rFonts w:asciiTheme="minorHAnsi" w:hAnsiTheme="minorHAnsi" w:cstheme="minorHAnsi"/>
              </w:rPr>
            </w:pP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42059B">
            <w:pPr>
              <w:widowControl w:val="0"/>
              <w:pBdr>
                <w:top w:val="nil"/>
                <w:left w:val="nil"/>
                <w:bottom w:val="nil"/>
                <w:right w:val="nil"/>
                <w:between w:val="nil"/>
              </w:pBdr>
              <w:spacing w:line="240" w:lineRule="auto"/>
              <w:rPr>
                <w:rFonts w:asciiTheme="minorHAnsi" w:hAnsiTheme="minorHAnsi" w:cstheme="minorHAnsi"/>
                <w:bCs/>
              </w:rPr>
            </w:pPr>
            <w:r w:rsidRPr="002D6968">
              <w:rPr>
                <w:rFonts w:asciiTheme="minorHAnsi" w:hAnsiTheme="minorHAnsi" w:cstheme="minorHAnsi"/>
                <w:bCs/>
              </w:rPr>
              <w:t>Employer Contribution:</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4770D" w:rsidRDefault="007E3F7A" w:rsidP="0042059B">
            <w:pPr>
              <w:pStyle w:val="Header"/>
              <w:rPr>
                <w:rFonts w:asciiTheme="minorHAnsi" w:hAnsiTheme="minorHAnsi" w:cstheme="minorHAnsi"/>
                <w:sz w:val="22"/>
                <w:szCs w:val="22"/>
              </w:rPr>
            </w:pPr>
          </w:p>
        </w:tc>
      </w:tr>
      <w:tr w:rsidR="007E3F7A" w:rsidRPr="002D6968" w:rsidTr="007E3F7A">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FA4486" w:rsidP="0042059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 xml:space="preserve">Employer Not Required </w:t>
            </w:r>
            <w:proofErr w:type="gramStart"/>
            <w:r w:rsidRPr="002D6968">
              <w:rPr>
                <w:rFonts w:asciiTheme="minorHAnsi" w:hAnsiTheme="minorHAnsi" w:cstheme="minorHAnsi"/>
                <w:b/>
                <w:bCs/>
                <w:sz w:val="22"/>
                <w:szCs w:val="22"/>
              </w:rPr>
              <w:t>to Contribute</w:t>
            </w:r>
            <w:proofErr w:type="gramEnd"/>
            <w:r w:rsidRPr="002D6968">
              <w:rPr>
                <w:rFonts w:asciiTheme="minorHAnsi" w:hAnsiTheme="minorHAnsi" w:cstheme="minorHAnsi"/>
                <w:b/>
                <w:bCs/>
                <w:sz w:val="22"/>
                <w:szCs w:val="22"/>
              </w:rPr>
              <w:t xml:space="preserve">. </w:t>
            </w:r>
            <w:r w:rsidRPr="002D6968">
              <w:rPr>
                <w:rFonts w:asciiTheme="minorHAnsi" w:hAnsiTheme="minorHAnsi" w:cstheme="minorHAnsi"/>
                <w:sz w:val="22"/>
                <w:szCs w:val="22"/>
              </w:rPr>
              <w:t xml:space="preserve">This language is verbatim from Md. Ins § 31-111. The statute does not need to </w:t>
            </w:r>
            <w:proofErr w:type="gramStart"/>
            <w:r w:rsidRPr="002D6968">
              <w:rPr>
                <w:rFonts w:asciiTheme="minorHAnsi" w:hAnsiTheme="minorHAnsi" w:cstheme="minorHAnsi"/>
                <w:sz w:val="22"/>
                <w:szCs w:val="22"/>
              </w:rPr>
              <w:t>be restated</w:t>
            </w:r>
            <w:proofErr w:type="gramEnd"/>
            <w:r w:rsidRPr="002D6968">
              <w:rPr>
                <w:rFonts w:asciiTheme="minorHAnsi" w:hAnsiTheme="minorHAnsi" w:cstheme="minorHAnsi"/>
                <w:sz w:val="22"/>
                <w:szCs w:val="22"/>
              </w:rPr>
              <w:t xml:space="preserve"> in this regulation. </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4770D" w:rsidRDefault="00FA4486" w:rsidP="00062DC2">
            <w:pPr>
              <w:pStyle w:val="Header"/>
              <w:rPr>
                <w:rFonts w:asciiTheme="minorHAnsi" w:hAnsiTheme="minorHAnsi" w:cstheme="minorHAnsi"/>
                <w:sz w:val="22"/>
                <w:szCs w:val="22"/>
              </w:rPr>
            </w:pPr>
            <w:r w:rsidRPr="0024770D">
              <w:rPr>
                <w:rFonts w:asciiTheme="minorHAnsi" w:hAnsiTheme="minorHAnsi" w:cstheme="minorHAnsi"/>
                <w:sz w:val="22"/>
                <w:szCs w:val="22"/>
              </w:rPr>
              <w:t xml:space="preserve">Added </w:t>
            </w:r>
            <w:r w:rsidR="00062DC2" w:rsidRPr="0024770D">
              <w:rPr>
                <w:rFonts w:asciiTheme="minorHAnsi" w:hAnsiTheme="minorHAnsi" w:cstheme="minorHAnsi"/>
                <w:sz w:val="22"/>
                <w:szCs w:val="22"/>
              </w:rPr>
              <w:t>for clarity</w:t>
            </w:r>
          </w:p>
        </w:tc>
      </w:tr>
      <w:tr w:rsidR="007E3F7A" w:rsidRPr="002D6968" w:rsidTr="007E3F7A">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42059B">
            <w:pPr>
              <w:widowControl w:val="0"/>
              <w:pBdr>
                <w:top w:val="nil"/>
                <w:left w:val="nil"/>
                <w:bottom w:val="nil"/>
                <w:right w:val="nil"/>
                <w:between w:val="nil"/>
              </w:pBdr>
              <w:spacing w:line="240" w:lineRule="auto"/>
              <w:rPr>
                <w:rFonts w:asciiTheme="minorHAnsi" w:hAnsiTheme="minorHAnsi" w:cstheme="minorHAnsi"/>
              </w:rPr>
            </w:pP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42059B">
            <w:pPr>
              <w:widowControl w:val="0"/>
              <w:pBdr>
                <w:top w:val="nil"/>
                <w:left w:val="nil"/>
                <w:bottom w:val="nil"/>
                <w:right w:val="nil"/>
                <w:between w:val="nil"/>
              </w:pBdr>
              <w:spacing w:line="240" w:lineRule="auto"/>
              <w:rPr>
                <w:rFonts w:asciiTheme="minorHAnsi" w:hAnsiTheme="minorHAnsi" w:cstheme="minorHAnsi"/>
                <w:bCs/>
              </w:rPr>
            </w:pPr>
            <w:r w:rsidRPr="002D6968">
              <w:rPr>
                <w:rFonts w:asciiTheme="minorHAnsi" w:hAnsiTheme="minorHAnsi" w:cstheme="minorHAnsi"/>
                <w:bCs/>
              </w:rPr>
              <w:t>Premium Rating</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4770D" w:rsidRDefault="007E3F7A" w:rsidP="0042059B">
            <w:pPr>
              <w:pStyle w:val="Header"/>
              <w:rPr>
                <w:rFonts w:asciiTheme="minorHAnsi" w:hAnsiTheme="minorHAnsi" w:cstheme="minorHAnsi"/>
                <w:sz w:val="22"/>
                <w:szCs w:val="22"/>
              </w:rPr>
            </w:pPr>
          </w:p>
        </w:tc>
      </w:tr>
      <w:tr w:rsidR="007E3F7A" w:rsidRPr="002D6968" w:rsidTr="007E3F7A">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FA4486" w:rsidP="0042059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b/>
                <w:bCs/>
                <w:sz w:val="22"/>
                <w:szCs w:val="22"/>
              </w:rPr>
              <w:t xml:space="preserve">Premium Rating Requirements. </w:t>
            </w:r>
          </w:p>
          <w:p w:rsidR="007E3F7A" w:rsidRPr="002D6968" w:rsidRDefault="007E3F7A" w:rsidP="007E3F7A">
            <w:pPr>
              <w:pStyle w:val="Default"/>
              <w:rPr>
                <w:rFonts w:asciiTheme="minorHAnsi" w:hAnsiTheme="minorHAnsi" w:cstheme="minorHAnsi"/>
                <w:sz w:val="22"/>
                <w:szCs w:val="22"/>
              </w:rPr>
            </w:pPr>
            <w:r w:rsidRPr="002D6968">
              <w:rPr>
                <w:rFonts w:asciiTheme="minorHAnsi" w:hAnsiTheme="minorHAnsi" w:cstheme="minorHAnsi"/>
                <w:sz w:val="22"/>
                <w:szCs w:val="22"/>
              </w:rPr>
              <w:t xml:space="preserve">• Clarification </w:t>
            </w:r>
            <w:proofErr w:type="gramStart"/>
            <w:r w:rsidRPr="002D6968">
              <w:rPr>
                <w:rFonts w:asciiTheme="minorHAnsi" w:hAnsiTheme="minorHAnsi" w:cstheme="minorHAnsi"/>
                <w:sz w:val="22"/>
                <w:szCs w:val="22"/>
              </w:rPr>
              <w:t>is needed</w:t>
            </w:r>
            <w:proofErr w:type="gramEnd"/>
            <w:r w:rsidRPr="002D6968">
              <w:rPr>
                <w:rFonts w:asciiTheme="minorHAnsi" w:hAnsiTheme="minorHAnsi" w:cstheme="minorHAnsi"/>
                <w:sz w:val="22"/>
                <w:szCs w:val="22"/>
              </w:rPr>
              <w:t xml:space="preserve"> regarding “varying rates”. The phrase may inadvertently prohibit an allowed practice--that is, updating rates when the group census changes. For example, today under member level rating the premium bill to a group does change whenever the group census changes. If a group hires a 30-year old, CareFirst adds a new charge for a 30-year old. Note that it is the same rate the 30-year old would have been charged based on the group’s last renewal, so in that sense the rates charged don’t “vary” within a year, but the total bill could. </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E3F7A" w:rsidRPr="0024770D" w:rsidRDefault="00EA5D58" w:rsidP="0042059B">
            <w:pPr>
              <w:pStyle w:val="Header"/>
              <w:rPr>
                <w:rFonts w:asciiTheme="minorHAnsi" w:hAnsiTheme="minorHAnsi" w:cstheme="minorHAnsi"/>
                <w:sz w:val="22"/>
                <w:szCs w:val="22"/>
              </w:rPr>
            </w:pPr>
            <w:r w:rsidRPr="0024770D">
              <w:rPr>
                <w:rFonts w:asciiTheme="minorHAnsi" w:hAnsiTheme="minorHAnsi" w:cstheme="minorHAnsi"/>
                <w:sz w:val="22"/>
                <w:szCs w:val="22"/>
              </w:rPr>
              <w:t>Section deleted</w:t>
            </w:r>
          </w:p>
        </w:tc>
      </w:tr>
      <w:tr w:rsidR="002D6968" w:rsidRPr="002D6968" w:rsidTr="002D6968">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D6968" w:rsidRDefault="00FA4486" w:rsidP="0042059B">
            <w:pPr>
              <w:widowControl w:val="0"/>
              <w:pBdr>
                <w:top w:val="nil"/>
                <w:left w:val="nil"/>
                <w:bottom w:val="nil"/>
                <w:right w:val="nil"/>
                <w:between w:val="nil"/>
              </w:pBdr>
              <w:spacing w:line="240" w:lineRule="auto"/>
              <w:rPr>
                <w:rFonts w:asciiTheme="minorHAnsi" w:hAnsiTheme="minorHAnsi" w:cstheme="minorHAnsi"/>
              </w:rPr>
            </w:pPr>
            <w:r w:rsidRPr="007E3F7A">
              <w:rPr>
                <w:rFonts w:asciiTheme="minorHAnsi" w:hAnsiTheme="minorHAnsi" w:cstheme="minorHAnsi"/>
              </w:rPr>
              <w:t>CareFirst</w:t>
            </w: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D6968" w:rsidRDefault="002D6968" w:rsidP="002D6968">
            <w:pPr>
              <w:pStyle w:val="Default"/>
              <w:rPr>
                <w:rFonts w:asciiTheme="minorHAnsi" w:hAnsiTheme="minorHAnsi" w:cstheme="minorHAnsi"/>
                <w:b/>
                <w:bCs/>
                <w:sz w:val="22"/>
                <w:szCs w:val="22"/>
              </w:rPr>
            </w:pPr>
            <w:r w:rsidRPr="002D6968">
              <w:rPr>
                <w:rFonts w:asciiTheme="minorHAnsi" w:hAnsiTheme="minorHAnsi" w:cstheme="minorHAnsi"/>
                <w:b/>
                <w:bCs/>
                <w:sz w:val="22"/>
                <w:szCs w:val="22"/>
              </w:rPr>
              <w:t xml:space="preserve">C. Composite premium rating. </w:t>
            </w:r>
          </w:p>
          <w:p w:rsidR="002D6968" w:rsidRPr="002D6968" w:rsidRDefault="002D6968" w:rsidP="002D6968">
            <w:pPr>
              <w:pStyle w:val="Default"/>
              <w:rPr>
                <w:rFonts w:asciiTheme="minorHAnsi" w:hAnsiTheme="minorHAnsi" w:cstheme="minorHAnsi"/>
                <w:sz w:val="22"/>
                <w:szCs w:val="22"/>
              </w:rPr>
            </w:pPr>
            <w:r w:rsidRPr="002D6968">
              <w:rPr>
                <w:rFonts w:asciiTheme="minorHAnsi" w:hAnsiTheme="minorHAnsi" w:cstheme="minorHAnsi"/>
                <w:sz w:val="22"/>
                <w:szCs w:val="22"/>
              </w:rPr>
              <w:t xml:space="preserve">• “Composite premium rating” should be changed to “composite billing” in the section title, as well in as subsections (1) and (2). </w:t>
            </w:r>
          </w:p>
          <w:p w:rsidR="002D6968" w:rsidRPr="002D6968" w:rsidRDefault="002D6968" w:rsidP="002D6968">
            <w:pPr>
              <w:pStyle w:val="Default"/>
              <w:pageBreakBefore/>
              <w:rPr>
                <w:rFonts w:asciiTheme="minorHAnsi" w:hAnsiTheme="minorHAnsi" w:cstheme="minorHAnsi"/>
                <w:sz w:val="22"/>
                <w:szCs w:val="22"/>
              </w:rPr>
            </w:pPr>
          </w:p>
          <w:p w:rsidR="002D6968" w:rsidRPr="002D6968" w:rsidRDefault="002D6968" w:rsidP="002D6968">
            <w:pPr>
              <w:pStyle w:val="Default"/>
              <w:rPr>
                <w:rFonts w:asciiTheme="minorHAnsi" w:hAnsiTheme="minorHAnsi" w:cstheme="minorHAnsi"/>
                <w:sz w:val="22"/>
                <w:szCs w:val="22"/>
              </w:rPr>
            </w:pPr>
            <w:r w:rsidRPr="002D6968">
              <w:rPr>
                <w:rFonts w:asciiTheme="minorHAnsi" w:hAnsiTheme="minorHAnsi" w:cstheme="minorHAnsi"/>
                <w:sz w:val="22"/>
                <w:szCs w:val="22"/>
              </w:rPr>
              <w:t xml:space="preserve">• Subsection (2) should be clarified to say that the </w:t>
            </w:r>
            <w:proofErr w:type="spellStart"/>
            <w:r w:rsidRPr="002D6968">
              <w:rPr>
                <w:rFonts w:asciiTheme="minorHAnsi" w:hAnsiTheme="minorHAnsi" w:cstheme="minorHAnsi"/>
                <w:sz w:val="22"/>
                <w:szCs w:val="22"/>
              </w:rPr>
              <w:t>MHBE</w:t>
            </w:r>
            <w:proofErr w:type="spellEnd"/>
            <w:r w:rsidRPr="002D6968">
              <w:rPr>
                <w:rFonts w:asciiTheme="minorHAnsi" w:hAnsiTheme="minorHAnsi" w:cstheme="minorHAnsi"/>
                <w:sz w:val="22"/>
                <w:szCs w:val="22"/>
              </w:rPr>
              <w:t xml:space="preserve"> </w:t>
            </w:r>
            <w:proofErr w:type="gramStart"/>
            <w:r w:rsidRPr="002D6968">
              <w:rPr>
                <w:rFonts w:asciiTheme="minorHAnsi" w:hAnsiTheme="minorHAnsi" w:cstheme="minorHAnsi"/>
                <w:sz w:val="22"/>
                <w:szCs w:val="22"/>
              </w:rPr>
              <w:t>will</w:t>
            </w:r>
            <w:proofErr w:type="gramEnd"/>
            <w:r w:rsidRPr="002D6968">
              <w:rPr>
                <w:rFonts w:asciiTheme="minorHAnsi" w:hAnsiTheme="minorHAnsi" w:cstheme="minorHAnsi"/>
                <w:sz w:val="22"/>
                <w:szCs w:val="22"/>
              </w:rPr>
              <w:t xml:space="preserve"> handle all premium aggregation rather than "determine" the premium. </w:t>
            </w:r>
          </w:p>
          <w:p w:rsidR="002D6968" w:rsidRPr="002D6968" w:rsidRDefault="002D6968" w:rsidP="002D6968">
            <w:pPr>
              <w:pStyle w:val="Default"/>
              <w:rPr>
                <w:rFonts w:asciiTheme="minorHAnsi" w:hAnsiTheme="minorHAnsi" w:cstheme="minorHAnsi"/>
                <w:b/>
                <w:bCs/>
                <w:sz w:val="22"/>
                <w:szCs w:val="22"/>
              </w:rPr>
            </w:pP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4770D" w:rsidRDefault="0024770D" w:rsidP="0042059B">
            <w:pPr>
              <w:pStyle w:val="Header"/>
              <w:rPr>
                <w:rFonts w:asciiTheme="minorHAnsi" w:hAnsiTheme="minorHAnsi" w:cstheme="minorHAnsi"/>
                <w:sz w:val="22"/>
                <w:szCs w:val="22"/>
              </w:rPr>
            </w:pPr>
            <w:r w:rsidRPr="0024770D">
              <w:rPr>
                <w:rFonts w:asciiTheme="minorHAnsi" w:hAnsiTheme="minorHAnsi" w:cstheme="minorHAnsi"/>
                <w:sz w:val="22"/>
                <w:szCs w:val="22"/>
              </w:rPr>
              <w:t xml:space="preserve">Edits incorporated </w:t>
            </w:r>
          </w:p>
        </w:tc>
      </w:tr>
      <w:tr w:rsidR="002D6968" w:rsidRPr="002D6968" w:rsidTr="002D6968">
        <w:tc>
          <w:tcPr>
            <w:tcW w:w="23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D6968" w:rsidRDefault="00D76401" w:rsidP="0042059B">
            <w:pPr>
              <w:widowControl w:val="0"/>
              <w:pBdr>
                <w:top w:val="nil"/>
                <w:left w:val="nil"/>
                <w:bottom w:val="nil"/>
                <w:right w:val="nil"/>
                <w:between w:val="nil"/>
              </w:pBdr>
              <w:spacing w:line="240" w:lineRule="auto"/>
              <w:rPr>
                <w:rFonts w:asciiTheme="minorHAnsi" w:hAnsiTheme="minorHAnsi" w:cstheme="minorHAnsi"/>
              </w:rPr>
            </w:pPr>
            <w:r>
              <w:rPr>
                <w:rFonts w:asciiTheme="minorHAnsi" w:hAnsiTheme="minorHAnsi" w:cstheme="minorHAnsi"/>
              </w:rPr>
              <w:t>CHF</w:t>
            </w:r>
          </w:p>
        </w:tc>
        <w:tc>
          <w:tcPr>
            <w:tcW w:w="854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D6968" w:rsidRDefault="00D76401" w:rsidP="002D6968">
            <w:pPr>
              <w:pStyle w:val="Default"/>
              <w:rPr>
                <w:rFonts w:asciiTheme="minorHAnsi" w:hAnsiTheme="minorHAnsi" w:cstheme="minorHAnsi"/>
                <w:b/>
                <w:bCs/>
                <w:sz w:val="22"/>
                <w:szCs w:val="22"/>
              </w:rPr>
            </w:pPr>
            <w:r>
              <w:sym w:font="Symbol" w:char="F0B7"/>
            </w:r>
            <w:r>
              <w:t xml:space="preserve"> 02 Eligibility for SHOP Exchange Is there a reason that the nondiscrimination section does not explicitly include gender, sexual orientation and gender identify along with age, occupation, etc.</w:t>
            </w:r>
            <w:proofErr w:type="gramStart"/>
            <w:r>
              <w:t>?</w:t>
            </w:r>
            <w:proofErr w:type="gramEnd"/>
            <w:r>
              <w:t xml:space="preserve"> Does this appear elsewhere in the insurance code? </w:t>
            </w:r>
            <w:r>
              <w:lastRenderedPageBreak/>
              <w:sym w:font="Symbol" w:char="F0B7"/>
            </w:r>
            <w:r>
              <w:t xml:space="preserve"> 03 Enrollment Under the special enrollment period section, I would think that language reflecting the new law would be helpful.</w:t>
            </w:r>
          </w:p>
        </w:tc>
        <w:tc>
          <w:tcPr>
            <w:tcW w:w="4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2D6968" w:rsidRPr="0024770D" w:rsidRDefault="00D76401" w:rsidP="0042059B">
            <w:pPr>
              <w:pStyle w:val="Header"/>
              <w:rPr>
                <w:rFonts w:asciiTheme="minorHAnsi" w:hAnsiTheme="minorHAnsi" w:cstheme="minorHAnsi"/>
                <w:sz w:val="22"/>
                <w:szCs w:val="22"/>
              </w:rPr>
            </w:pPr>
            <w:r w:rsidRPr="0024770D">
              <w:rPr>
                <w:rFonts w:asciiTheme="minorHAnsi" w:hAnsiTheme="minorHAnsi" w:cstheme="minorHAnsi"/>
                <w:sz w:val="22"/>
                <w:szCs w:val="22"/>
              </w:rPr>
              <w:lastRenderedPageBreak/>
              <w:t>Both comments have been incorporated per MD law</w:t>
            </w:r>
          </w:p>
        </w:tc>
      </w:tr>
    </w:tbl>
    <w:p w:rsidR="006C135C" w:rsidRPr="002D6968" w:rsidRDefault="006C135C">
      <w:pPr>
        <w:rPr>
          <w:rFonts w:asciiTheme="minorHAnsi" w:hAnsiTheme="minorHAnsi" w:cstheme="minorHAnsi"/>
        </w:rPr>
      </w:pPr>
    </w:p>
    <w:sectPr w:rsidR="006C135C" w:rsidRPr="002D6968" w:rsidSect="007E3F7A">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E77705"/>
    <w:multiLevelType w:val="hybridMultilevel"/>
    <w:tmpl w:val="BDEEC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DA5743"/>
    <w:multiLevelType w:val="hybridMultilevel"/>
    <w:tmpl w:val="16D2B38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D8B"/>
    <w:rsid w:val="00062DC2"/>
    <w:rsid w:val="00161B6A"/>
    <w:rsid w:val="001E4018"/>
    <w:rsid w:val="0024770D"/>
    <w:rsid w:val="00271A80"/>
    <w:rsid w:val="002D6968"/>
    <w:rsid w:val="003C5B68"/>
    <w:rsid w:val="00513EFC"/>
    <w:rsid w:val="00610A2F"/>
    <w:rsid w:val="0065738D"/>
    <w:rsid w:val="0066179E"/>
    <w:rsid w:val="006C135C"/>
    <w:rsid w:val="00755641"/>
    <w:rsid w:val="007E3F7A"/>
    <w:rsid w:val="00893D42"/>
    <w:rsid w:val="00914050"/>
    <w:rsid w:val="00C016EA"/>
    <w:rsid w:val="00C75A0F"/>
    <w:rsid w:val="00CD42F5"/>
    <w:rsid w:val="00D03D3F"/>
    <w:rsid w:val="00D174A3"/>
    <w:rsid w:val="00D76401"/>
    <w:rsid w:val="00DD0D8B"/>
    <w:rsid w:val="00E87C02"/>
    <w:rsid w:val="00EA5D58"/>
    <w:rsid w:val="00FA4486"/>
    <w:rsid w:val="00FF09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2B0E78-5600-4CE0-B56D-B4976EBAB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D0D8B"/>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7C02"/>
    <w:pPr>
      <w:ind w:left="720"/>
      <w:contextualSpacing/>
    </w:pPr>
  </w:style>
  <w:style w:type="paragraph" w:styleId="Header">
    <w:name w:val="header"/>
    <w:basedOn w:val="Normal"/>
    <w:link w:val="HeaderChar"/>
    <w:rsid w:val="00161B6A"/>
    <w:pPr>
      <w:tabs>
        <w:tab w:val="center" w:pos="4320"/>
        <w:tab w:val="right" w:pos="8640"/>
      </w:tabs>
      <w:spacing w:line="240" w:lineRule="auto"/>
    </w:pPr>
    <w:rPr>
      <w:rFonts w:ascii="Times New Roman" w:eastAsia="Times New Roman" w:hAnsi="Times New Roman" w:cs="Times New Roman"/>
      <w:sz w:val="20"/>
      <w:szCs w:val="20"/>
      <w:lang w:val="en-US"/>
    </w:rPr>
  </w:style>
  <w:style w:type="character" w:customStyle="1" w:styleId="HeaderChar">
    <w:name w:val="Header Char"/>
    <w:basedOn w:val="DefaultParagraphFont"/>
    <w:link w:val="Header"/>
    <w:rsid w:val="00161B6A"/>
    <w:rPr>
      <w:rFonts w:ascii="Times New Roman" w:eastAsia="Times New Roman" w:hAnsi="Times New Roman" w:cs="Times New Roman"/>
      <w:sz w:val="20"/>
      <w:szCs w:val="20"/>
    </w:rPr>
  </w:style>
  <w:style w:type="paragraph" w:customStyle="1" w:styleId="Default">
    <w:name w:val="Default"/>
    <w:rsid w:val="007E3F7A"/>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semiHidden/>
    <w:unhideWhenUsed/>
    <w:rsid w:val="001E401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marylandhbe.com/wp-content/uploads/2012/11/MHBE-Approach-to-Implementing-Federal-Requirements-through-State-Regulations.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1586</TotalTime>
  <Pages>8</Pages>
  <Words>2211</Words>
  <Characters>12608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MHBE</Company>
  <LinksUpToDate>false</LinksUpToDate>
  <CharactersWithSpaces>14790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Grau</dc:creator>
  <cp:keywords/>
  <dc:description/>
  <cp:lastModifiedBy>Taylor Kasky</cp:lastModifiedBy>
  <cp:revision>11</cp:revision>
  <dcterms:created xsi:type="dcterms:W3CDTF">2019-05-23T18:10:00Z</dcterms:created>
  <dcterms:modified xsi:type="dcterms:W3CDTF">2019-07-22T19:22:00Z</dcterms:modified>
</cp:coreProperties>
</file>